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mask-error experiments were retained as sensitivity tests rather than invariance claims. A small initial benchmark favored response curves, but two larger prospective distribution-shift tests rejected both direct concatenation and rotation quotienting as universally robust comparison representations. In the latter, canonical geometry reached balanced accuracy 0.700, compared with 0.673 for raw curves and 0.693 for PyRadiomics, and failed four of seven gates. Training-only perturbation calibration subsequently restored held-out development accuracy to 0.980, but did not add discrimination beyond matched augmentation and remains unconfirmed.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rejects a universal classifier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4255932"/>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4255932"/>
                    </a:xfrm>
                    <a:prstGeom prst="rect"/>
                  </pic:spPr>
                </pic:pic>
              </a:graphicData>
            </a:graphic>
          </wp:inline>
        </w:drawing>
      </w:r>
    </w:p>
    <w:p>
      <w:pPr>
        <w:pStyle w:val="Caption"/>
        <w:keepLines/>
      </w:pPr>
      <w:r>
        <w:rPr>
          <w:rFonts w:ascii="Times New Roman" w:hAnsi="Times New Roman" w:eastAsia="Times New Roman"/>
        </w:rPr>
        <w:t>Figure 2 | Analytic recovery and perturbation limits. Synthetic constructs encode exact directional, morphological, geometric, network and spatial ground truth. Error trajectories show the effect of rotation, sampling, blur, noise, point-spread-function and partial-volume perturbations. The held-out construct matrix compares NOSTOS response curves, conventional scalars, naive summaries, Kymatio, PyRadiomics and leave-one-module-out representations. Classification is descriptive at the stated sample size.</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filamentous microscopy, cartilage histology and Hoechst fluorescence. Filament panels retain the full-representation and module-ablation results.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archive installed in a fresh Windows Python 3.13 environment and passed 116 tests, with two optional-comparator tests skipped. The public repository subsequently passed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the perturbation-calibrated stability and abstention layer must be frozen and prospectively validated; raw concatenation failed v2 and rotation quotienting failed v3. Two prospective Hessian transfers likewise showed strong localization but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v0.3.0-rc6</w:t>
      </w:r>
      <w:r>
        <w:rPr>
          <w:rFonts w:ascii="Times New Roman" w:hAnsi="Times New Roman" w:eastAsia="Times New Roman"/>
        </w:rPr>
        <w:t xml:space="preserve"> tag identifies the clean-room-tested research candidate containing the mapped IBSI texture-conformance audit and external-replication challenge.</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6"/>
        </w:rPr>
        <w:t xml:space="preserve">1. Frangi, A. F. et al. Multiscale vessel enhancement filtering. </w:t>
      </w:r>
      <w:r>
        <w:rPr>
          <w:rFonts w:ascii="Times New Roman" w:hAnsi="Times New Roman" w:eastAsia="Times New Roman"/>
          <w:i/>
          <w:sz w:val="16"/>
        </w:rPr>
        <w:t>Medical Image Computing and Computer-Assisted Intervention</w:t>
      </w:r>
      <w:r>
        <w:rPr>
          <w:rFonts w:ascii="Times New Roman" w:hAnsi="Times New Roman" w:eastAsia="Times New Roman"/>
          <w:sz w:val="16"/>
        </w:rPr>
        <w:t xml:space="preserve"> (1998). https://doi.org/10.1007/BFb0056195</w:t>
      </w:r>
    </w:p>
    <w:p>
      <w:pPr>
        <w:spacing w:after="0" w:line="240" w:lineRule="auto"/>
        <w:ind w:left="259" w:hanging="259"/>
      </w:pPr>
      <w:r>
        <w:rPr>
          <w:rFonts w:ascii="Times New Roman" w:hAnsi="Times New Roman" w:eastAsia="Times New Roman"/>
          <w:sz w:val="16"/>
        </w:rPr>
        <w:t xml:space="preserve">2. Sato, Y. et al. Three-dimensional multi-scale line filter for segmentation and visualization of curvilinear structures in medical images. </w:t>
      </w:r>
      <w:r>
        <w:rPr>
          <w:rFonts w:ascii="Times New Roman" w:hAnsi="Times New Roman" w:eastAsia="Times New Roman"/>
          <w:i/>
          <w:sz w:val="16"/>
        </w:rPr>
        <w:t>Medical Image Analysis</w:t>
      </w:r>
      <w:r>
        <w:rPr>
          <w:rFonts w:ascii="Times New Roman" w:hAnsi="Times New Roman" w:eastAsia="Times New Roman"/>
          <w:sz w:val="16"/>
        </w:rPr>
        <w:t xml:space="preserve"> </w:t>
      </w:r>
      <w:r>
        <w:rPr>
          <w:rFonts w:ascii="Times New Roman" w:hAnsi="Times New Roman" w:eastAsia="Times New Roman"/>
          <w:b/>
          <w:sz w:val="16"/>
        </w:rPr>
        <w:t>2</w:t>
      </w:r>
      <w:r>
        <w:rPr>
          <w:rFonts w:ascii="Times New Roman" w:hAnsi="Times New Roman" w:eastAsia="Times New Roman"/>
          <w:sz w:val="16"/>
        </w:rPr>
        <w:t>, 143–168 (1998). https://doi.org/10.1016/S1361-8415(98)80009-1</w:t>
      </w:r>
    </w:p>
    <w:p>
      <w:pPr>
        <w:spacing w:after="0" w:line="240" w:lineRule="auto"/>
        <w:ind w:left="259" w:hanging="259"/>
      </w:pPr>
      <w:r>
        <w:rPr>
          <w:rFonts w:ascii="Times New Roman" w:hAnsi="Times New Roman" w:eastAsia="Times New Roman"/>
          <w:sz w:val="16"/>
        </w:rPr>
        <w:t xml:space="preserve">3. Hildebrand, T. &amp; Rüegsegger, P. A new method for the model-independent assessment of thickness in three-dimensional images. </w:t>
      </w:r>
      <w:r>
        <w:rPr>
          <w:rFonts w:ascii="Times New Roman" w:hAnsi="Times New Roman" w:eastAsia="Times New Roman"/>
          <w:i/>
          <w:sz w:val="16"/>
        </w:rPr>
        <w:t>Journal of Microscopy</w:t>
      </w:r>
      <w:r>
        <w:rPr>
          <w:rFonts w:ascii="Times New Roman" w:hAnsi="Times New Roman" w:eastAsia="Times New Roman"/>
          <w:sz w:val="16"/>
        </w:rPr>
        <w:t xml:space="preserve"> </w:t>
      </w:r>
      <w:r>
        <w:rPr>
          <w:rFonts w:ascii="Times New Roman" w:hAnsi="Times New Roman" w:eastAsia="Times New Roman"/>
          <w:b/>
          <w:sz w:val="16"/>
        </w:rPr>
        <w:t>185</w:t>
      </w:r>
      <w:r>
        <w:rPr>
          <w:rFonts w:ascii="Times New Roman" w:hAnsi="Times New Roman" w:eastAsia="Times New Roman"/>
          <w:sz w:val="16"/>
        </w:rPr>
        <w:t>, 67–75 (1997).</w:t>
      </w:r>
    </w:p>
    <w:p>
      <w:pPr>
        <w:spacing w:after="0" w:line="240" w:lineRule="auto"/>
        <w:ind w:left="259" w:hanging="259"/>
      </w:pPr>
      <w:r>
        <w:rPr>
          <w:rFonts w:ascii="Times New Roman" w:hAnsi="Times New Roman" w:eastAsia="Times New Roman"/>
          <w:sz w:val="16"/>
        </w:rPr>
        <w:t xml:space="preserve">4. Mallat, S. Group invariant scattering. </w:t>
      </w:r>
      <w:r>
        <w:rPr>
          <w:rFonts w:ascii="Times New Roman" w:hAnsi="Times New Roman" w:eastAsia="Times New Roman"/>
          <w:i/>
          <w:sz w:val="16"/>
        </w:rPr>
        <w:t>Communications on Pure and Applied Mathematics</w:t>
      </w:r>
      <w:r>
        <w:rPr>
          <w:rFonts w:ascii="Times New Roman" w:hAnsi="Times New Roman" w:eastAsia="Times New Roman"/>
          <w:sz w:val="16"/>
        </w:rPr>
        <w:t xml:space="preserve"> </w:t>
      </w:r>
      <w:r>
        <w:rPr>
          <w:rFonts w:ascii="Times New Roman" w:hAnsi="Times New Roman" w:eastAsia="Times New Roman"/>
          <w:b/>
          <w:sz w:val="16"/>
        </w:rPr>
        <w:t>65</w:t>
      </w:r>
      <w:r>
        <w:rPr>
          <w:rFonts w:ascii="Times New Roman" w:hAnsi="Times New Roman" w:eastAsia="Times New Roman"/>
          <w:sz w:val="16"/>
        </w:rPr>
        <w:t>, 1331–1398 (2012).</w:t>
      </w:r>
    </w:p>
    <w:p>
      <w:pPr>
        <w:spacing w:after="0" w:line="240" w:lineRule="auto"/>
        <w:ind w:left="259" w:hanging="259"/>
      </w:pPr>
      <w:r>
        <w:rPr>
          <w:rFonts w:ascii="Times New Roman" w:hAnsi="Times New Roman" w:eastAsia="Times New Roman"/>
          <w:sz w:val="16"/>
        </w:rPr>
        <w:t xml:space="preserve">5. Zwanenburg, A. et al. The Image Biomarker Standardization Initiative: standardized quantitative radiomics for high-throughput image-based phenotyping. </w:t>
      </w:r>
      <w:r>
        <w:rPr>
          <w:rFonts w:ascii="Times New Roman" w:hAnsi="Times New Roman" w:eastAsia="Times New Roman"/>
          <w:i/>
          <w:sz w:val="16"/>
        </w:rPr>
        <w:t>Radiology</w:t>
      </w:r>
      <w:r>
        <w:rPr>
          <w:rFonts w:ascii="Times New Roman" w:hAnsi="Times New Roman" w:eastAsia="Times New Roman"/>
          <w:sz w:val="16"/>
        </w:rPr>
        <w:t xml:space="preserve"> </w:t>
      </w:r>
      <w:r>
        <w:rPr>
          <w:rFonts w:ascii="Times New Roman" w:hAnsi="Times New Roman" w:eastAsia="Times New Roman"/>
          <w:b/>
          <w:sz w:val="16"/>
        </w:rPr>
        <w:t>295</w:t>
      </w:r>
      <w:r>
        <w:rPr>
          <w:rFonts w:ascii="Times New Roman" w:hAnsi="Times New Roman" w:eastAsia="Times New Roman"/>
          <w:sz w:val="16"/>
        </w:rPr>
        <w:t>, 328–338 (2020). https://doi.org/10.1148/radiol.2020191145</w:t>
      </w:r>
    </w:p>
    <w:p>
      <w:pPr>
        <w:spacing w:after="0" w:line="240" w:lineRule="auto"/>
        <w:ind w:left="259" w:hanging="259"/>
      </w:pPr>
      <w:r>
        <w:rPr>
          <w:rFonts w:ascii="Times New Roman" w:hAnsi="Times New Roman" w:eastAsia="Times New Roman"/>
          <w:sz w:val="16"/>
        </w:rPr>
        <w:t xml:space="preserve">6. Carpenter, A. E. et al. CellProfiler: image analysis software for identifying and quantifying cell phenotypes. </w:t>
      </w:r>
      <w:r>
        <w:rPr>
          <w:rFonts w:ascii="Times New Roman" w:hAnsi="Times New Roman" w:eastAsia="Times New Roman"/>
          <w:i/>
          <w:sz w:val="16"/>
        </w:rPr>
        <w:t>Genome Biology</w:t>
      </w:r>
      <w:r>
        <w:rPr>
          <w:rFonts w:ascii="Times New Roman" w:hAnsi="Times New Roman" w:eastAsia="Times New Roman"/>
          <w:sz w:val="16"/>
        </w:rPr>
        <w:t xml:space="preserve"> </w:t>
      </w:r>
      <w:r>
        <w:rPr>
          <w:rFonts w:ascii="Times New Roman" w:hAnsi="Times New Roman" w:eastAsia="Times New Roman"/>
          <w:b/>
          <w:sz w:val="16"/>
        </w:rPr>
        <w:t>7</w:t>
      </w:r>
      <w:r>
        <w:rPr>
          <w:rFonts w:ascii="Times New Roman" w:hAnsi="Times New Roman" w:eastAsia="Times New Roman"/>
          <w:sz w:val="16"/>
        </w:rPr>
        <w:t>, R100 (2006).</w:t>
      </w:r>
    </w:p>
    <w:p>
      <w:pPr>
        <w:spacing w:after="0" w:line="240" w:lineRule="auto"/>
        <w:ind w:left="259" w:hanging="259"/>
      </w:pPr>
      <w:r>
        <w:rPr>
          <w:rFonts w:ascii="Times New Roman" w:hAnsi="Times New Roman" w:eastAsia="Times New Roman"/>
          <w:sz w:val="16"/>
        </w:rPr>
        <w:t xml:space="preserve">7. Dougherty, R. &amp; Kunzelmann, K.-H. Computing local thickness of 3D structures with ImageJ. </w:t>
      </w:r>
      <w:r>
        <w:rPr>
          <w:rFonts w:ascii="Times New Roman" w:hAnsi="Times New Roman" w:eastAsia="Times New Roman"/>
          <w:i/>
          <w:sz w:val="16"/>
        </w:rPr>
        <w:t>Microscopy and Microanalysis</w:t>
      </w:r>
      <w:r>
        <w:rPr>
          <w:rFonts w:ascii="Times New Roman" w:hAnsi="Times New Roman" w:eastAsia="Times New Roman"/>
          <w:sz w:val="16"/>
        </w:rPr>
        <w:t xml:space="preserve"> </w:t>
      </w:r>
      <w:r>
        <w:rPr>
          <w:rFonts w:ascii="Times New Roman" w:hAnsi="Times New Roman" w:eastAsia="Times New Roman"/>
          <w:b/>
          <w:sz w:val="16"/>
        </w:rPr>
        <w:t>13</w:t>
      </w:r>
      <w:r>
        <w:rPr>
          <w:rFonts w:ascii="Times New Roman" w:hAnsi="Times New Roman" w:eastAsia="Times New Roman"/>
          <w:sz w:val="16"/>
        </w:rPr>
        <w:t>, 1678–1679 (2007).</w:t>
      </w:r>
    </w:p>
    <w:p>
      <w:pPr>
        <w:spacing w:after="0" w:line="240" w:lineRule="auto"/>
        <w:ind w:left="259" w:hanging="259"/>
      </w:pPr>
      <w:r>
        <w:rPr>
          <w:rFonts w:ascii="Times New Roman" w:hAnsi="Times New Roman" w:eastAsia="Times New Roman"/>
          <w:sz w:val="16"/>
        </w:rPr>
        <w:t xml:space="preserve">8. Plotnick, R. E., Gardner, R. H., Hargrove, W. W., Prestegaard, K. &amp; Perlmutter, M. Lacunarity analysis: a general technique for the analysis of spatial patterns. </w:t>
      </w:r>
      <w:r>
        <w:rPr>
          <w:rFonts w:ascii="Times New Roman" w:hAnsi="Times New Roman" w:eastAsia="Times New Roman"/>
          <w:i/>
          <w:sz w:val="16"/>
        </w:rPr>
        <w:t>Physical Review E</w:t>
      </w:r>
      <w:r>
        <w:rPr>
          <w:rFonts w:ascii="Times New Roman" w:hAnsi="Times New Roman" w:eastAsia="Times New Roman"/>
          <w:sz w:val="16"/>
        </w:rPr>
        <w:t xml:space="preserve"> </w:t>
      </w:r>
      <w:r>
        <w:rPr>
          <w:rFonts w:ascii="Times New Roman" w:hAnsi="Times New Roman" w:eastAsia="Times New Roman"/>
          <w:b/>
          <w:sz w:val="16"/>
        </w:rPr>
        <w:t>53</w:t>
      </w:r>
      <w:r>
        <w:rPr>
          <w:rFonts w:ascii="Times New Roman" w:hAnsi="Times New Roman" w:eastAsia="Times New Roman"/>
          <w:sz w:val="16"/>
        </w:rPr>
        <w:t>, 5461–5468 (1996). https://doi.org/10.1103/PhysRevE.53.5461</w:t>
      </w:r>
    </w:p>
    <w:p>
      <w:pPr>
        <w:spacing w:after="0" w:line="240" w:lineRule="auto"/>
        <w:ind w:left="259" w:hanging="259"/>
      </w:pPr>
      <w:r>
        <w:rPr>
          <w:rFonts w:ascii="Times New Roman" w:hAnsi="Times New Roman" w:eastAsia="Times New Roman"/>
          <w:sz w:val="16"/>
        </w:rPr>
        <w:t xml:space="preserve">9. Bubenik, P. Statistical topological data analysis using persistence landscapes.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16</w:t>
      </w:r>
      <w:r>
        <w:rPr>
          <w:rFonts w:ascii="Times New Roman" w:hAnsi="Times New Roman" w:eastAsia="Times New Roman"/>
          <w:sz w:val="16"/>
        </w:rPr>
        <w:t>, 77–102 (2015).</w:t>
      </w:r>
    </w:p>
    <w:p>
      <w:pPr>
        <w:spacing w:after="0" w:line="240" w:lineRule="auto"/>
        <w:ind w:left="259" w:hanging="259"/>
      </w:pPr>
      <w:r>
        <w:rPr>
          <w:rFonts w:ascii="Times New Roman" w:hAnsi="Times New Roman" w:eastAsia="Times New Roman"/>
          <w:sz w:val="16"/>
        </w:rPr>
        <w:t xml:space="preserve">10. Roberts, B. C. et al. Application of digital volume correlation for the measurement of displacement and strain fields in bone: a literature review. </w:t>
      </w:r>
      <w:r>
        <w:rPr>
          <w:rFonts w:ascii="Times New Roman" w:hAnsi="Times New Roman" w:eastAsia="Times New Roman"/>
          <w:i/>
          <w:sz w:val="16"/>
        </w:rPr>
        <w:t>Journal of Biomechanics</w:t>
      </w:r>
      <w:r>
        <w:rPr>
          <w:rFonts w:ascii="Times New Roman" w:hAnsi="Times New Roman" w:eastAsia="Times New Roman"/>
          <w:sz w:val="16"/>
        </w:rPr>
        <w:t xml:space="preserve"> </w:t>
      </w:r>
      <w:r>
        <w:rPr>
          <w:rFonts w:ascii="Times New Roman" w:hAnsi="Times New Roman" w:eastAsia="Times New Roman"/>
          <w:b/>
          <w:sz w:val="16"/>
        </w:rPr>
        <w:t>47</w:t>
      </w:r>
      <w:r>
        <w:rPr>
          <w:rFonts w:ascii="Times New Roman" w:hAnsi="Times New Roman" w:eastAsia="Times New Roman"/>
          <w:sz w:val="16"/>
        </w:rPr>
        <w:t>, 923–934 (2014). https://doi.org/10.1016/j.jbiomech.2014.01.001</w:t>
      </w:r>
    </w:p>
    <w:p>
      <w:pPr>
        <w:spacing w:after="0" w:line="240" w:lineRule="auto"/>
        <w:ind w:left="259" w:hanging="259"/>
      </w:pPr>
      <w:r>
        <w:rPr>
          <w:rFonts w:ascii="Times New Roman" w:hAnsi="Times New Roman" w:eastAsia="Times New Roman"/>
          <w:sz w:val="16"/>
        </w:rPr>
        <w:t xml:space="preserve">11. Ljosa, V., Sokolnicki, K. L. &amp; Carpenter, A. E. Annotated high-throughput microscopy image sets for validation.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637 (2012). https://doi.org/10.1038/nmeth.2083</w:t>
      </w:r>
    </w:p>
    <w:p>
      <w:pPr>
        <w:spacing w:after="0" w:line="240" w:lineRule="auto"/>
        <w:ind w:left="259" w:hanging="259"/>
      </w:pPr>
      <w:r>
        <w:rPr>
          <w:rFonts w:ascii="Times New Roman" w:hAnsi="Times New Roman" w:eastAsia="Times New Roman"/>
          <w:sz w:val="16"/>
        </w:rPr>
        <w:t xml:space="preserve">12. Andreux, M. et al. Kymatio: scattering transforms in Python.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21</w:t>
      </w:r>
      <w:r>
        <w:rPr>
          <w:rFonts w:ascii="Times New Roman" w:hAnsi="Times New Roman" w:eastAsia="Times New Roman"/>
          <w:sz w:val="16"/>
        </w:rPr>
        <w:t>, 1–6 (2020).</w:t>
      </w:r>
    </w:p>
    <w:p>
      <w:pPr>
        <w:spacing w:after="0" w:line="240" w:lineRule="auto"/>
        <w:ind w:left="259" w:hanging="259"/>
      </w:pPr>
      <w:r>
        <w:rPr>
          <w:rFonts w:ascii="Times New Roman" w:hAnsi="Times New Roman" w:eastAsia="Times New Roman"/>
          <w:sz w:val="16"/>
        </w:rPr>
        <w:t xml:space="preserve">13. van Griethuysen, J. J. M. et al. Computational radiomics system to decode the radiographic phenotype. </w:t>
      </w:r>
      <w:r>
        <w:rPr>
          <w:rFonts w:ascii="Times New Roman" w:hAnsi="Times New Roman" w:eastAsia="Times New Roman"/>
          <w:i/>
          <w:sz w:val="16"/>
        </w:rPr>
        <w:t>Cancer Research</w:t>
      </w:r>
      <w:r>
        <w:rPr>
          <w:rFonts w:ascii="Times New Roman" w:hAnsi="Times New Roman" w:eastAsia="Times New Roman"/>
          <w:sz w:val="16"/>
        </w:rPr>
        <w:t xml:space="preserve"> </w:t>
      </w:r>
      <w:r>
        <w:rPr>
          <w:rFonts w:ascii="Times New Roman" w:hAnsi="Times New Roman" w:eastAsia="Times New Roman"/>
          <w:b/>
          <w:sz w:val="16"/>
        </w:rPr>
        <w:t>77</w:t>
      </w:r>
      <w:r>
        <w:rPr>
          <w:rFonts w:ascii="Times New Roman" w:hAnsi="Times New Roman" w:eastAsia="Times New Roman"/>
          <w:sz w:val="16"/>
        </w:rPr>
        <w:t>, e104–e107 (2017). https://doi.org/10.1158/0008-5472.CAN-17-0339</w:t>
      </w:r>
    </w:p>
    <w:p>
      <w:pPr>
        <w:spacing w:after="0" w:line="240" w:lineRule="auto"/>
        <w:ind w:left="259" w:hanging="259"/>
      </w:pPr>
      <w:r>
        <w:rPr>
          <w:rFonts w:ascii="Times New Roman" w:hAnsi="Times New Roman" w:eastAsia="Times New Roman"/>
          <w:sz w:val="16"/>
        </w:rPr>
        <w:t xml:space="preserve">14. Harris, C. R. et al. Array programming with NumPy. </w:t>
      </w:r>
      <w:r>
        <w:rPr>
          <w:rFonts w:ascii="Times New Roman" w:hAnsi="Times New Roman" w:eastAsia="Times New Roman"/>
          <w:i/>
          <w:sz w:val="16"/>
        </w:rPr>
        <w:t>Nature</w:t>
      </w:r>
      <w:r>
        <w:rPr>
          <w:rFonts w:ascii="Times New Roman" w:hAnsi="Times New Roman" w:eastAsia="Times New Roman"/>
          <w:sz w:val="16"/>
        </w:rPr>
        <w:t xml:space="preserve"> </w:t>
      </w:r>
      <w:r>
        <w:rPr>
          <w:rFonts w:ascii="Times New Roman" w:hAnsi="Times New Roman" w:eastAsia="Times New Roman"/>
          <w:b/>
          <w:sz w:val="16"/>
        </w:rPr>
        <w:t>585</w:t>
      </w:r>
      <w:r>
        <w:rPr>
          <w:rFonts w:ascii="Times New Roman" w:hAnsi="Times New Roman" w:eastAsia="Times New Roman"/>
          <w:sz w:val="16"/>
        </w:rPr>
        <w:t>, 357–362 (2020). https://doi.org/10.1038/s41586-020-2649-2</w:t>
      </w:r>
    </w:p>
    <w:p>
      <w:pPr>
        <w:spacing w:after="0" w:line="240" w:lineRule="auto"/>
        <w:ind w:left="259" w:hanging="259"/>
      </w:pPr>
      <w:r>
        <w:rPr>
          <w:rFonts w:ascii="Times New Roman" w:hAnsi="Times New Roman" w:eastAsia="Times New Roman"/>
          <w:sz w:val="16"/>
        </w:rPr>
        <w:t xml:space="preserve">15. Virtanen, P. et al. SciPy 1.0: fundamental algorithms for scientific computing in Python.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17</w:t>
      </w:r>
      <w:r>
        <w:rPr>
          <w:rFonts w:ascii="Times New Roman" w:hAnsi="Times New Roman" w:eastAsia="Times New Roman"/>
          <w:sz w:val="16"/>
        </w:rPr>
        <w:t>, 261–272 (2020). https://doi.org/10.1038/s41592-019-0686-2</w:t>
      </w:r>
    </w:p>
    <w:p>
      <w:pPr>
        <w:spacing w:after="0" w:line="240" w:lineRule="auto"/>
        <w:ind w:left="259" w:hanging="259"/>
      </w:pPr>
      <w:r>
        <w:rPr>
          <w:rFonts w:ascii="Times New Roman" w:hAnsi="Times New Roman" w:eastAsia="Times New Roman"/>
          <w:sz w:val="16"/>
        </w:rPr>
        <w:t xml:space="preserve">16. van der Walt, S. et al. scikit-image: image processing in Python. </w:t>
      </w:r>
      <w:r>
        <w:rPr>
          <w:rFonts w:ascii="Times New Roman" w:hAnsi="Times New Roman" w:eastAsia="Times New Roman"/>
          <w:i/>
          <w:sz w:val="16"/>
        </w:rPr>
        <w:t>PeerJ</w:t>
      </w:r>
      <w:r>
        <w:rPr>
          <w:rFonts w:ascii="Times New Roman" w:hAnsi="Times New Roman" w:eastAsia="Times New Roman"/>
          <w:sz w:val="16"/>
        </w:rPr>
        <w:t xml:space="preserve"> </w:t>
      </w:r>
      <w:r>
        <w:rPr>
          <w:rFonts w:ascii="Times New Roman" w:hAnsi="Times New Roman" w:eastAsia="Times New Roman"/>
          <w:b/>
          <w:sz w:val="16"/>
        </w:rPr>
        <w:t>2</w:t>
      </w:r>
      <w:r>
        <w:rPr>
          <w:rFonts w:ascii="Times New Roman" w:hAnsi="Times New Roman" w:eastAsia="Times New Roman"/>
          <w:sz w:val="16"/>
        </w:rPr>
        <w:t>, e453 (2014). https://doi.org/10.7717/peerj.453</w:t>
      </w:r>
    </w:p>
    <w:p>
      <w:pPr>
        <w:spacing w:after="0" w:line="240" w:lineRule="auto"/>
        <w:ind w:left="259" w:hanging="259"/>
      </w:pPr>
      <w:r>
        <w:rPr>
          <w:rFonts w:ascii="Times New Roman" w:hAnsi="Times New Roman" w:eastAsia="Times New Roman"/>
          <w:sz w:val="16"/>
        </w:rPr>
        <w:t xml:space="preserve">17. Pedregosa, F. et al. Scikit-learn: machine learning in Python. </w:t>
      </w:r>
      <w:r>
        <w:rPr>
          <w:rFonts w:ascii="Times New Roman" w:hAnsi="Times New Roman" w:eastAsia="Times New Roman"/>
          <w:i/>
          <w:sz w:val="16"/>
        </w:rPr>
        <w:t>Journal of Machine Learning Research</w:t>
      </w:r>
      <w:r>
        <w:rPr>
          <w:rFonts w:ascii="Times New Roman" w:hAnsi="Times New Roman" w:eastAsia="Times New Roman"/>
          <w:sz w:val="16"/>
        </w:rPr>
        <w:t xml:space="preserve"> </w:t>
      </w:r>
      <w:r>
        <w:rPr>
          <w:rFonts w:ascii="Times New Roman" w:hAnsi="Times New Roman" w:eastAsia="Times New Roman"/>
          <w:b/>
          <w:sz w:val="16"/>
        </w:rPr>
        <w:t>12</w:t>
      </w:r>
      <w:r>
        <w:rPr>
          <w:rFonts w:ascii="Times New Roman" w:hAnsi="Times New Roman" w:eastAsia="Times New Roman"/>
          <w:sz w:val="16"/>
        </w:rPr>
        <w:t>, 2825–2830 (2011).</w:t>
      </w:r>
    </w:p>
    <w:p>
      <w:pPr>
        <w:spacing w:after="0" w:line="240" w:lineRule="auto"/>
        <w:ind w:left="259" w:hanging="259"/>
      </w:pPr>
      <w:r>
        <w:rPr>
          <w:rFonts w:ascii="Times New Roman" w:hAnsi="Times New Roman" w:eastAsia="Times New Roman"/>
          <w:sz w:val="16"/>
        </w:rPr>
        <w:t xml:space="preserve">18. Doube, M. et al. BoneJ: free and extensible bone image analysis in ImageJ. </w:t>
      </w:r>
      <w:r>
        <w:rPr>
          <w:rFonts w:ascii="Times New Roman" w:hAnsi="Times New Roman" w:eastAsia="Times New Roman"/>
          <w:i/>
          <w:sz w:val="16"/>
        </w:rPr>
        <w:t>Bone</w:t>
      </w:r>
      <w:r>
        <w:rPr>
          <w:rFonts w:ascii="Times New Roman" w:hAnsi="Times New Roman" w:eastAsia="Times New Roman"/>
          <w:sz w:val="16"/>
        </w:rPr>
        <w:t xml:space="preserve"> </w:t>
      </w:r>
      <w:r>
        <w:rPr>
          <w:rFonts w:ascii="Times New Roman" w:hAnsi="Times New Roman" w:eastAsia="Times New Roman"/>
          <w:b/>
          <w:sz w:val="16"/>
        </w:rPr>
        <w:t>47</w:t>
      </w:r>
      <w:r>
        <w:rPr>
          <w:rFonts w:ascii="Times New Roman" w:hAnsi="Times New Roman" w:eastAsia="Times New Roman"/>
          <w:sz w:val="16"/>
        </w:rPr>
        <w:t>, 1076–1079 (2010). https://doi.org/10.1016/j.bone.2010.08.023</w:t>
      </w:r>
    </w:p>
    <w:p>
      <w:pPr>
        <w:spacing w:after="0" w:line="240" w:lineRule="auto"/>
        <w:ind w:left="259" w:hanging="259"/>
      </w:pPr>
      <w:r>
        <w:rPr>
          <w:rFonts w:ascii="Times New Roman" w:hAnsi="Times New Roman" w:eastAsia="Times New Roman"/>
          <w:sz w:val="16"/>
        </w:rPr>
        <w:t xml:space="preserve">19. Schneider, C. A., Rasband, W. S. &amp; Eliceiri, K. W. NIH Image to ImageJ: 25 years of image analysis.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671–675 (2012). https://doi.org/10.1038/nmeth.2089</w:t>
      </w:r>
    </w:p>
    <w:p>
      <w:pPr>
        <w:spacing w:after="0" w:line="240" w:lineRule="auto"/>
        <w:ind w:left="259" w:hanging="259"/>
      </w:pPr>
      <w:r>
        <w:rPr>
          <w:rFonts w:ascii="Times New Roman" w:hAnsi="Times New Roman" w:eastAsia="Times New Roman"/>
          <w:sz w:val="16"/>
        </w:rPr>
        <w:t xml:space="preserve">20. Haralick, R. M., Shanmugam, K. &amp; Dinstein, I. Textural features for image classification. </w:t>
      </w:r>
      <w:r>
        <w:rPr>
          <w:rFonts w:ascii="Times New Roman" w:hAnsi="Times New Roman" w:eastAsia="Times New Roman"/>
          <w:i/>
          <w:sz w:val="16"/>
        </w:rPr>
        <w:t>IEEE Transactions on Systems, Man, and Cybernetics</w:t>
      </w:r>
      <w:r>
        <w:rPr>
          <w:rFonts w:ascii="Times New Roman" w:hAnsi="Times New Roman" w:eastAsia="Times New Roman"/>
          <w:sz w:val="16"/>
        </w:rPr>
        <w:t xml:space="preserve"> </w:t>
      </w:r>
      <w:r>
        <w:rPr>
          <w:rFonts w:ascii="Times New Roman" w:hAnsi="Times New Roman" w:eastAsia="Times New Roman"/>
          <w:b/>
          <w:sz w:val="16"/>
        </w:rPr>
        <w:t>SMC-3</w:t>
      </w:r>
      <w:r>
        <w:rPr>
          <w:rFonts w:ascii="Times New Roman" w:hAnsi="Times New Roman" w:eastAsia="Times New Roman"/>
          <w:sz w:val="16"/>
        </w:rPr>
        <w:t>, 610–621 (1973). https://doi.org/10.1109/TSMC.1973.4309314</w:t>
      </w:r>
    </w:p>
    <w:p>
      <w:pPr>
        <w:spacing w:after="0" w:line="240" w:lineRule="auto"/>
        <w:ind w:left="259" w:hanging="259"/>
      </w:pPr>
      <w:r>
        <w:rPr>
          <w:rFonts w:ascii="Times New Roman" w:hAnsi="Times New Roman" w:eastAsia="Times New Roman"/>
          <w:sz w:val="16"/>
        </w:rPr>
        <w:t xml:space="preserve">21. Otsu, N. A threshold selection method from gray-level histograms. </w:t>
      </w:r>
      <w:r>
        <w:rPr>
          <w:rFonts w:ascii="Times New Roman" w:hAnsi="Times New Roman" w:eastAsia="Times New Roman"/>
          <w:i/>
          <w:sz w:val="16"/>
        </w:rPr>
        <w:t>IEEE Transactions on Systems, Man, and Cybernetics</w:t>
      </w:r>
      <w:r>
        <w:rPr>
          <w:rFonts w:ascii="Times New Roman" w:hAnsi="Times New Roman" w:eastAsia="Times New Roman"/>
          <w:sz w:val="16"/>
        </w:rPr>
        <w:t xml:space="preserve"> </w:t>
      </w:r>
      <w:r>
        <w:rPr>
          <w:rFonts w:ascii="Times New Roman" w:hAnsi="Times New Roman" w:eastAsia="Times New Roman"/>
          <w:b/>
          <w:sz w:val="16"/>
        </w:rPr>
        <w:t>9</w:t>
      </w:r>
      <w:r>
        <w:rPr>
          <w:rFonts w:ascii="Times New Roman" w:hAnsi="Times New Roman" w:eastAsia="Times New Roman"/>
          <w:sz w:val="16"/>
        </w:rPr>
        <w:t>, 62–66 (1979). https://doi.org/10.1109/TSMC.1979.4310076</w:t>
      </w:r>
    </w:p>
    <w:p>
      <w:pPr>
        <w:spacing w:after="0" w:line="240" w:lineRule="auto"/>
        <w:ind w:left="259" w:hanging="259"/>
      </w:pPr>
      <w:r>
        <w:rPr>
          <w:rFonts w:ascii="Times New Roman" w:hAnsi="Times New Roman" w:eastAsia="Times New Roman"/>
          <w:sz w:val="16"/>
        </w:rPr>
        <w:t xml:space="preserve">22. Maier-Hein, L. et al. Metrics reloaded: recommendations for image analysis validation. </w:t>
      </w:r>
      <w:r>
        <w:rPr>
          <w:rFonts w:ascii="Times New Roman" w:hAnsi="Times New Roman" w:eastAsia="Times New Roman"/>
          <w:i/>
          <w:sz w:val="16"/>
        </w:rPr>
        <w:t>Nature Methods</w:t>
      </w:r>
      <w:r>
        <w:rPr>
          <w:rFonts w:ascii="Times New Roman" w:hAnsi="Times New Roman" w:eastAsia="Times New Roman"/>
          <w:sz w:val="16"/>
        </w:rPr>
        <w:t xml:space="preserve"> </w:t>
      </w:r>
      <w:r>
        <w:rPr>
          <w:rFonts w:ascii="Times New Roman" w:hAnsi="Times New Roman" w:eastAsia="Times New Roman"/>
          <w:b/>
          <w:sz w:val="16"/>
        </w:rPr>
        <w:t>21</w:t>
      </w:r>
      <w:r>
        <w:rPr>
          <w:rFonts w:ascii="Times New Roman" w:hAnsi="Times New Roman" w:eastAsia="Times New Roman"/>
          <w:sz w:val="16"/>
        </w:rPr>
        <w:t>, 195–212 (2024). https://doi.org/10.1038/s41592-023-02151-z</w:t>
      </w:r>
    </w:p>
    <w:p>
      <w:pPr>
        <w:spacing w:after="0" w:line="240" w:lineRule="auto"/>
        <w:ind w:left="259" w:hanging="259"/>
      </w:pPr>
      <w:r>
        <w:rPr>
          <w:rFonts w:ascii="Times New Roman" w:hAnsi="Times New Roman" w:eastAsia="Times New Roman"/>
          <w:sz w:val="16"/>
        </w:rPr>
        <w:t xml:space="preserve">23. Efron, B. &amp; Tibshirani, R. J. </w:t>
      </w:r>
      <w:r>
        <w:rPr>
          <w:rFonts w:ascii="Times New Roman" w:hAnsi="Times New Roman" w:eastAsia="Times New Roman"/>
          <w:i/>
          <w:sz w:val="16"/>
        </w:rPr>
        <w:t>An Introduction to the Bootstrap</w:t>
      </w:r>
      <w:r>
        <w:rPr>
          <w:rFonts w:ascii="Times New Roman" w:hAnsi="Times New Roman" w:eastAsia="Times New Roman"/>
          <w:sz w:val="16"/>
        </w:rPr>
        <w:t>. (Chapman &amp; Hall/CRC, 1993).</w:t>
      </w:r>
    </w:p>
    <w:p>
      <w:pPr>
        <w:spacing w:after="0" w:line="240" w:lineRule="auto"/>
        <w:ind w:left="259" w:hanging="259"/>
      </w:pPr>
      <w:r>
        <w:rPr>
          <w:rFonts w:ascii="Times New Roman" w:hAnsi="Times New Roman" w:eastAsia="Times New Roman"/>
          <w:sz w:val="16"/>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6"/>
        </w:rPr>
        <w:t>Data in Brief</w:t>
      </w:r>
      <w:r>
        <w:rPr>
          <w:rFonts w:ascii="Times New Roman" w:hAnsi="Times New Roman" w:eastAsia="Times New Roman"/>
          <w:sz w:val="16"/>
        </w:rPr>
        <w:t xml:space="preserve"> </w:t>
      </w:r>
      <w:r>
        <w:rPr>
          <w:rFonts w:ascii="Times New Roman" w:hAnsi="Times New Roman" w:eastAsia="Times New Roman"/>
          <w:b/>
          <w:sz w:val="16"/>
        </w:rPr>
        <w:t>37</w:t>
      </w:r>
      <w:r>
        <w:rPr>
          <w:rFonts w:ascii="Times New Roman" w:hAnsi="Times New Roman" w:eastAsia="Times New Roman"/>
          <w:sz w:val="16"/>
        </w:rPr>
        <w:t>, 107129 (2021). https://doi.org/10.1016/j.dib.2021.107129</w:t>
      </w:r>
    </w:p>
    <w:p>
      <w:pPr>
        <w:spacing w:after="0" w:line="240" w:lineRule="auto"/>
        <w:ind w:left="259" w:hanging="259"/>
      </w:pPr>
      <w:r>
        <w:rPr>
          <w:rFonts w:ascii="Times New Roman" w:hAnsi="Times New Roman" w:eastAsia="Times New Roman"/>
          <w:sz w:val="16"/>
        </w:rPr>
        <w:t xml:space="preserve">25. Pritzker, K. P. H. et al. Osteoarthritis cartilage histopathology: grading and staging. </w:t>
      </w:r>
      <w:r>
        <w:rPr>
          <w:rFonts w:ascii="Times New Roman" w:hAnsi="Times New Roman" w:eastAsia="Times New Roman"/>
          <w:i/>
          <w:sz w:val="16"/>
        </w:rPr>
        <w:t>Osteoarthritis and Cartilage</w:t>
      </w:r>
      <w:r>
        <w:rPr>
          <w:rFonts w:ascii="Times New Roman" w:hAnsi="Times New Roman" w:eastAsia="Times New Roman"/>
          <w:sz w:val="16"/>
        </w:rPr>
        <w:t xml:space="preserve"> </w:t>
      </w:r>
      <w:r>
        <w:rPr>
          <w:rFonts w:ascii="Times New Roman" w:hAnsi="Times New Roman" w:eastAsia="Times New Roman"/>
          <w:b/>
          <w:sz w:val="16"/>
        </w:rPr>
        <w:t>14</w:t>
      </w:r>
      <w:r>
        <w:rPr>
          <w:rFonts w:ascii="Times New Roman" w:hAnsi="Times New Roman" w:eastAsia="Times New Roman"/>
          <w:sz w:val="16"/>
        </w:rPr>
        <w:t>, 13–29 (2006). https://doi.org/10.1016/j.joca.2005.07.014</w:t>
      </w:r>
    </w:p>
    <w:p>
      <w:pPr>
        <w:spacing w:after="0" w:line="240" w:lineRule="auto"/>
        <w:ind w:left="259" w:hanging="259"/>
      </w:pPr>
      <w:r>
        <w:rPr>
          <w:rFonts w:ascii="Times New Roman" w:hAnsi="Times New Roman" w:eastAsia="Times New Roman"/>
          <w:sz w:val="16"/>
        </w:rPr>
        <w:t xml:space="preserve">26. Changoor, A. et al. A polarized light microscopy method for accurate and reliable grading of collagen organization in cartilage repair. </w:t>
      </w:r>
      <w:r>
        <w:rPr>
          <w:rFonts w:ascii="Times New Roman" w:hAnsi="Times New Roman" w:eastAsia="Times New Roman"/>
          <w:i/>
          <w:sz w:val="16"/>
        </w:rPr>
        <w:t>Osteoarthritis and Cartilage</w:t>
      </w:r>
      <w:r>
        <w:rPr>
          <w:rFonts w:ascii="Times New Roman" w:hAnsi="Times New Roman" w:eastAsia="Times New Roman"/>
          <w:sz w:val="16"/>
        </w:rPr>
        <w:t xml:space="preserve"> </w:t>
      </w:r>
      <w:r>
        <w:rPr>
          <w:rFonts w:ascii="Times New Roman" w:hAnsi="Times New Roman" w:eastAsia="Times New Roman"/>
          <w:b/>
          <w:sz w:val="16"/>
        </w:rPr>
        <w:t>19</w:t>
      </w:r>
      <w:r>
        <w:rPr>
          <w:rFonts w:ascii="Times New Roman" w:hAnsi="Times New Roman" w:eastAsia="Times New Roman"/>
          <w:sz w:val="16"/>
        </w:rPr>
        <w:t>, 126–135 (2011). https://doi.org/10.1016/j.joca.2010.10.010</w:t>
      </w:r>
    </w:p>
    <w:p>
      <w:pPr>
        <w:spacing w:after="0" w:line="240" w:lineRule="auto"/>
        <w:ind w:left="259" w:hanging="259"/>
      </w:pPr>
      <w:r>
        <w:rPr>
          <w:rFonts w:ascii="Times New Roman" w:hAnsi="Times New Roman" w:eastAsia="Times New Roman"/>
          <w:sz w:val="16"/>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6"/>
        </w:rPr>
        <w:t>Cartilage</w:t>
      </w:r>
      <w:r>
        <w:rPr>
          <w:rFonts w:ascii="Times New Roman" w:hAnsi="Times New Roman" w:eastAsia="Times New Roman"/>
          <w:sz w:val="16"/>
        </w:rPr>
        <w:t xml:space="preserve"> </w:t>
      </w:r>
      <w:r>
        <w:rPr>
          <w:rFonts w:ascii="Times New Roman" w:hAnsi="Times New Roman" w:eastAsia="Times New Roman"/>
          <w:b/>
          <w:sz w:val="16"/>
        </w:rPr>
        <w:t>13</w:t>
      </w:r>
      <w:r>
        <w:rPr>
          <w:rFonts w:ascii="Times New Roman" w:hAnsi="Times New Roman" w:eastAsia="Times New Roman"/>
          <w:sz w:val="16"/>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