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Times New Roman" w:hAnsi="Times New Roman" w:eastAsia="Times New Roman"/>
          <w:b/>
          <w:sz w:val="36"/>
        </w:rPr>
        <w:t>NOSTOS represents multiscale structure across biological images in physical coordinates</w:t>
      </w:r>
    </w:p>
    <w:p>
      <w:pPr>
        <w:spacing w:after="20"/>
      </w:pPr>
      <w:r>
        <w:rPr>
          <w:rFonts w:ascii="Times New Roman" w:hAnsi="Times New Roman" w:eastAsia="Times New Roman"/>
          <w:b/>
        </w:rPr>
        <w:t>Article type:</w:t>
      </w:r>
      <w:r>
        <w:rPr>
          <w:rFonts w:ascii="Times New Roman" w:hAnsi="Times New Roman" w:eastAsia="Times New Roman"/>
        </w:rPr>
        <w:t xml:space="preserve"> Article</w:t>
      </w:r>
    </w:p>
    <w:p>
      <w:pPr>
        <w:spacing w:after="20"/>
      </w:pPr>
      <w:r>
        <w:rPr>
          <w:rFonts w:ascii="Times New Roman" w:hAnsi="Times New Roman" w:eastAsia="Times New Roman"/>
          <w:b/>
        </w:rPr>
        <w:t>Target:</w:t>
      </w:r>
      <w:r>
        <w:rPr>
          <w:rFonts w:ascii="Times New Roman" w:hAnsi="Times New Roman" w:eastAsia="Times New Roman"/>
        </w:rPr>
        <w:t xml:space="preserve"> Nature Methods (reach submission after the red validation gates close)</w:t>
      </w:r>
    </w:p>
    <w:p>
      <w:pPr>
        <w:spacing w:after="20"/>
      </w:pPr>
      <w:r>
        <w:rPr>
          <w:rFonts w:ascii="Times New Roman" w:hAnsi="Times New Roman" w:eastAsia="Times New Roman"/>
          <w:b/>
        </w:rPr>
        <w:t>Version:</w:t>
      </w:r>
      <w:r>
        <w:rPr>
          <w:rFonts w:ascii="Times New Roman" w:hAnsi="Times New Roman" w:eastAsia="Times New Roman"/>
        </w:rPr>
        <w:t xml:space="preserve"> evidence-locked development draft, 26 August 2026</w:t>
      </w:r>
    </w:p>
    <w:p>
      <w:pPr>
        <w:spacing w:after="20"/>
      </w:pPr>
      <w:r>
        <w:rPr>
          <w:rFonts w:ascii="Times New Roman" w:hAnsi="Times New Roman" w:eastAsia="Times New Roman"/>
          <w:b/>
        </w:rPr>
        <w:t>Status:</w:t>
      </w:r>
      <w:r>
        <w:rPr>
          <w:rFonts w:ascii="Times New Roman" w:hAnsi="Times New Roman" w:eastAsia="Times New Roman"/>
        </w:rPr>
        <w:t xml:space="preserve"> not for submission; human cartilage-mask validation, platform-level confirmation, external replication and archival DOI remain outstanding</w:t>
      </w:r>
    </w:p>
    <w:p>
      <w:pPr>
        <w:pStyle w:val="Heading1"/>
      </w:pPr>
      <w:r>
        <w:t>Abstract</w:t>
      </w:r>
    </w:p>
    <w:p>
      <w:r>
        <w:rPr>
          <w:rFonts w:ascii="Times New Roman" w:hAnsi="Times New Roman" w:eastAsia="Times New Roman"/>
        </w:rPr>
        <w:t>Biological image-analysis methods commonly report tissue-specific scalar features, making it difficult to determine whether measurements transfer across resolution, dimensionality or specimen class. We developed NOSTOS, a CPU-first framework that represents image structure as calibrated response curves indexed by physical scale, direction, spatial separation and segmentation threshold. The same typed representation accommodates spectral organization, structure-tensor coherence, scale-normalized Hessian morphology, local thickness, network erosion survival and directional spatial covariance, while retaining stability estimates, validity flags and reasons for abstention. In analytic phantoms, all 24 prespecified module-perturbation tests passed across rotation, sampling, blur, noise, contrast, point-spread-function and partial-volume challenges. Larger prospective distribution-shift tests rejected direct concatenation and rotation quotienting as universally robust comparison representations, and a four-domain biological confirmation rejected the compact geometry as a specimen-identity fingerprint (macro top-1 accuracy 0.100; bootstrap interval 0.033–0.183). A frozen global FFT reliability rule failed transfer to annotated collagen SHG, whereas a scale-declared local field first passed an endpoint-new centerline test and then all nine gates in an untouched polarization-SHG breast cohort after instrument-to-raster calibration (48 ROIs; 1,367,747 pixels; median axial error 7.59°, ROI-bootstrap 95% interval 7.26–7.91°; axial alignment 0.877). In eight public trabecular-bone micro-CT volumes, NOSTOS local thickness showed 8.05% mean absolute relative bias and median voxelwise Spearman correlation 0.927 against archived reference maps. NOSTOS therefore provides an openly auditable measurement grammar and prospective failure-testing framework; current evidence supports calibrated local orientation and thickness, but rejects a universal classifier, universal identity signature, transferable global abstention rule or completed flagship claim.</w:t>
      </w:r>
    </w:p>
    <w:p>
      <w:pPr>
        <w:pStyle w:val="Heading1"/>
      </w:pPr>
      <w:r>
        <w:t>Main</w:t>
      </w:r>
    </w:p>
    <w:p>
      <w:r>
        <w:rPr>
          <w:rFonts w:ascii="Times New Roman" w:hAnsi="Times New Roman" w:eastAsia="Times New Roman"/>
        </w:rPr>
        <w:t>Microscopy exposes structure over several orders of magnitude, but analysis pipelines often erase that geometry. A filter-bank response is reduced to its maximum, orientation becomes a single dominant angle, thickness becomes an average and topology becomes a feature count. Those summaries can be useful within a study, yet they obscure the scale at which a measurement arose and make changes in sampling, resolution or segmentation difficult to distinguish from biological differences. Large radiomic feature tables compound the problem: they increase coverage, but do not by themselves provide a coherent coordinate system or a prospective rule for when a measurement should not be reported [5,11,22].</w:t>
      </w:r>
    </w:p>
    <w:p>
      <w:r>
        <w:rPr>
          <w:rFonts w:ascii="Times New Roman" w:hAnsi="Times New Roman" w:eastAsia="Times New Roman"/>
        </w:rPr>
        <w:t>NOSTOS was designed around a narrower proposition. A structural measurement should preserve the physical coordinate over which it was evaluated, retain its response rather than only its extremum, quantify its sensitivity to plausible perturbations and abstain when the image cannot support the requested inference. The framework applies the same measurement grammar across sample classes; it does not assume that the same response has the same biological meaning in every tissue. Tubeness may describe collagen bundles, hyphae, vessels or trabecular struts. NOSTOS makes those responses comparable as measurements, whereas biological studies establish their interpretation.</w:t>
      </w:r>
    </w:p>
    <w:p>
      <w:pPr>
        <w:pStyle w:val="Heading2"/>
      </w:pPr>
      <w:r>
        <w:t>A calibrated response geometry</w:t>
      </w:r>
    </w:p>
    <w:p>
      <w:r>
        <w:rPr>
          <w:rFonts w:ascii="Times New Roman" w:hAnsi="Times New Roman" w:eastAsia="Times New Roman"/>
        </w:rPr>
        <w:t>For an image or volume I, optional mask M and spatial calibration Δ, NOSTOS returns a set of typed responses</w:t>
      </w:r>
    </w:p>
    <w:p>
      <w:pPr>
        <w:spacing w:before="80" w:after="120"/>
        <w:jc w:val="center"/>
      </w:pPr>
      <w:r>
        <w:rPr>
          <w:rFonts w:ascii="Times New Roman" w:hAnsi="Times New Roman" w:eastAsia="Times New Roman"/>
          <w:i/>
          <w:sz w:val="20"/>
        </w:rPr>
        <w:t>Φ(I, M, Δ) = {Φₘ(ℓ, θ, τ, r)}ₘ₌₁ᴹ</w:t>
      </w:r>
    </w:p>
    <w:p>
      <w:r>
        <w:rPr>
          <w:rFonts w:ascii="Times New Roman" w:hAnsi="Times New Roman" w:eastAsia="Times New Roman"/>
        </w:rPr>
        <w:t>where m denotes the measurement module, ℓ physical scale, θ direction, τ a segmentation, confidence or erosion threshold and r spatial separation. Every response stores absolute physical coordinates, optional specimen-relative coordinates, values, units, stability metadata, validity flags, provenance and explicit reasons for abstention. Scalar descriptors are derived views of this object rather than the primary representation.</w:t>
      </w:r>
    </w:p>
    <w:p>
      <w:r>
        <w:rPr>
          <w:rFonts w:ascii="Times New Roman" w:hAnsi="Times New Roman" w:eastAsia="Times New Roman"/>
        </w:rPr>
        <w:t>Six modules span distinct structural axes. Angular and radial Fourier responses measure directional energy, entropy, anisotropy and characteristic wavelength. Structure tensors provide a local, independently estimated orientation and coherence field. Scale-normalized Hessian eigenvalues resolve blob-, tube- and sheet-like responses [1,2]. Maximal-inscribed-sphere geometry estimates local thickness in two- or three-dimensional masks [3,7,18]. Skeleton and erosion-survival responses quantify network fragmentation over a declared filtration. Directional variograms describe spatial covariance and its anisotropy. Modules declare their dimensionality, calibration requirements and eligibility; a network response, for example, is inapplicable to an unsegmented intensity image rather than silently replaced by a surrogate.</w:t>
      </w:r>
    </w:p>
    <w:p>
      <w:r>
        <w:rPr>
          <w:rFonts w:ascii="Times New Roman" w:hAnsi="Times New Roman" w:eastAsia="Times New Roman"/>
        </w:rPr>
        <w:t>The implementation is deterministic and CPU-first. It operates on calibrated two-dimensional images and three-dimensional volumes without tissue-specific retraining. A learned segmentation may supply a mask, but segmentation is an upstream measurement with its own validity requirement and is never allowed to validate itself through downstream feature stability.</w:t>
      </w:r>
    </w:p>
    <w:p>
      <w:pPr>
        <w:keepNext/>
        <w:spacing w:before="120" w:after="20"/>
        <w:jc w:val="center"/>
      </w:pPr>
      <w:r>
        <w:drawing>
          <wp:inline xmlns:a="http://schemas.openxmlformats.org/drawingml/2006/main" xmlns:pic="http://schemas.openxmlformats.org/drawingml/2006/picture">
            <wp:extent cx="6309360" cy="3550902"/>
            <wp:docPr id="1" name="Picture 1"/>
            <wp:cNvGraphicFramePr>
              <a:graphicFrameLocks noChangeAspect="1"/>
            </wp:cNvGraphicFramePr>
            <a:graphic>
              <a:graphicData uri="http://schemas.openxmlformats.org/drawingml/2006/picture">
                <pic:pic>
                  <pic:nvPicPr>
                    <pic:cNvPr id="0" name="figure_1_response_geometry_reference.png"/>
                    <pic:cNvPicPr/>
                  </pic:nvPicPr>
                  <pic:blipFill>
                    <a:blip r:embed="rId11"/>
                    <a:stretch>
                      <a:fillRect/>
                    </a:stretch>
                  </pic:blipFill>
                  <pic:spPr>
                    <a:xfrm>
                      <a:off x="0" y="0"/>
                      <a:ext cx="6309360" cy="3550902"/>
                    </a:xfrm>
                    <a:prstGeom prst="rect"/>
                  </pic:spPr>
                </pic:pic>
              </a:graphicData>
            </a:graphic>
          </wp:inline>
        </w:drawing>
      </w:r>
    </w:p>
    <w:p>
      <w:pPr>
        <w:pStyle w:val="Caption"/>
        <w:keepLines/>
      </w:pPr>
      <w:r>
        <w:rPr>
          <w:rFonts w:ascii="Times New Roman" w:hAnsi="Times New Roman" w:eastAsia="Times New Roman"/>
        </w:rPr>
        <w:t>Figure 1 | A common response geometry for calibrated biological images. Calibrated two-dimensional images and three-dimensional volumes enter the same typed measurement system. Spectral, tensor, Hessian, thickness, network and spatial modules retain their responses over physical scale, direction, threshold or separation. Prospective perturbations quantify stability. Measurements either produce a response with provenance or abstain with a stated reason.</w:t>
      </w:r>
    </w:p>
    <w:p>
      <w:pPr>
        <w:pStyle w:val="Heading2"/>
      </w:pPr>
      <w:r>
        <w:t>Prospective phantom tests define measurement limits</w:t>
      </w:r>
    </w:p>
    <w:p>
      <w:r>
        <w:rPr>
          <w:rFonts w:ascii="Times New Roman" w:hAnsi="Times New Roman" w:eastAsia="Times New Roman"/>
        </w:rPr>
        <w:t>We froze the synthetic generator and truth registry before evaluating biological datasets. Analytic constructs encode orientation and angular dispersion, spectral wavelength, blob/tube/sheet class and size, local thickness, surface roughness, graph connectivity and anisotropic correlation length. Perturbations rotate, resample and crop the construct; alter contrast, blur and noise; modify isotropic or anisotropic point-spread functions; introduce partial-volume effects; and perturb masks.</w:t>
      </w:r>
    </w:p>
    <w:p>
      <w:r>
        <w:rPr>
          <w:rFonts w:ascii="Times New Roman" w:hAnsi="Times New Roman" w:eastAsia="Times New Roman"/>
        </w:rPr>
        <w:t>All 24 prespecified module tests passed. The tests evaluate the quantity a perturbation should preserve or alter: circular orientation error after rotation, physical scale error after adequate resampling, morphology class and selected scale, thickness error in calibrated units, branch or survival behavior after deletion and variogram range and anisotropy. Mask errors were not counted as invariances. Two mask experiments instead quantify how far the resulting measurement moves, preserving the distinction between a stable calculation and a correct region of interest.</w:t>
      </w:r>
    </w:p>
    <w:p>
      <w:r>
        <w:rPr>
          <w:rFonts w:ascii="Times New Roman" w:hAnsi="Times New Roman" w:eastAsia="Times New Roman"/>
        </w:rPr>
        <w:t>The response geometry classified 16 held-out perturbed constructs with balanced accuracy 1.00. Conventional scalar features and naive summaries of the same response families each reached 0.94. Removing the Hessian family reduced balanced accuracy to 0.88, whereas several other single-module removals did not change performance. These numbers are descriptive because the held-out set is small; they demonstrate executable discrimination and expose redundancy, not general superiority.</w:t>
      </w:r>
    </w:p>
    <w:p>
      <w:r>
        <w:rPr>
          <w:rFonts w:ascii="Times New Roman" w:hAnsi="Times New Roman" w:eastAsia="Times New Roman"/>
        </w:rPr>
        <w:t>A larger prospective challenge then tested 480 balanced analytic images under compound acquisition shifts disjoint from training. The prespecified raw response-curve concatenation failed three of five gates. Balanced accuracy was 0.721 (95% stratified-bootstrap interval, 0.679–0.763), below matched collapsed summaries and conformance-audited PyRadiomics, both 0.883; the paired deficit was 0.108–0.217. Kymatio scattering achieved 0.621. Removing the tensor block increased accuracy to 0.933, whereas removing spectral or Hessian responses reduced accuracy. This rejects direct curve concatenation as a robust common representation and identifies absolute directional coordinates as a nuisance under unseen global rotations. NOSTOS now retains raw response geometry for measurement while exposing a separately declared canonical comparison geometry that quotients global axial rotation. The failed v2 test remains development evidence and cannot confirm this redesign.</w:t>
      </w:r>
    </w:p>
    <w:p>
      <w:r>
        <w:rPr>
          <w:rFonts w:ascii="Times New Roman" w:hAnsi="Times New Roman" w:eastAsia="Times New Roman"/>
        </w:rPr>
        <w:t>We froze a new 600-image confirmation before generating its seeds. It combined rotation with anisotropic blur and resampling, translation, nonlinear intensity response, illumination gradients and shot noise. Canonical geometry reached balanced accuracy 0.700 (95% interval, 0.650–0.747), compared with 0.673 for raw curves, 0.483 for collapsed summaries, 0.693 for PyRadiomics and 0.290 for Kymatio. The canonical-minus-raw interval crossed zero, and median standardized perturbation distance fell by only 3% rather than the prespecified 25%. Tensor and spatial ablations again improved accuracy. Four of seven gates failed. Thus the rotation quotient alone is insufficient under compound acquisition shifts.</w:t>
      </w:r>
    </w:p>
    <w:p>
      <w:r>
        <w:rPr>
          <w:rFonts w:ascii="Times New Roman" w:hAnsi="Times New Roman" w:eastAsia="Times New Roman"/>
        </w:rPr>
        <w:t>A subsequent development-only experiment used paired perturbation replicas from the v3 training cases. Coordinate reliability was estimated without outcome labels as between-specimen variance divided by between-specimen plus perturbation-error variance. After centering on the full reference–perturbation envelope, stability-weighted and unweighted augmented canonical models both reached balanced accuracy 0.980 on held-out cases under an independently generated perturbation replica. Stability weighting therefore supports uncertainty and abstention, but has not demonstrated incremental discrimination. No new confirmatory claim is assigned to this development result.</w:t>
      </w:r>
    </w:p>
    <w:p>
      <w:r>
        <w:rPr>
          <w:rFonts w:ascii="Times New Roman" w:hAnsi="Times New Roman" w:eastAsia="Times New Roman"/>
        </w:rPr>
        <w:t>We next tested the narrower and more clinically relevant question of selective measurement: can NOSTOS recognize when it should not report an FFT orientation or wavelength? A self-perturbation score was developed on 500 calibrated phantoms and frozen before generating 600 new cases with compound optical, sampling and corruption effects. The rule accepted 563 of 600 cases (93.8% coverage). Six accepted estimates were invalid, giving selective risk 1.07% and a 95% Wilson interval of 0.49–2.31%; invalid-measurement detection AUC was 0.980. The legacy SNR-and-sampling rule covered 94.8% at 4.39% risk. Median accepted angular and wavelength errors were 0.24° and 1.70%. Five of six gates passed. The formal result remained fail because the frozen gate demanded a risk reduction greater than ten percentage points, whereas accepting every confirmation case incurred only 4.67% risk. We retain that logically unattainable gate rather than rewriting it after observing the cohort.</w:t>
      </w:r>
    </w:p>
    <w:p>
      <w:r>
        <w:rPr>
          <w:rFonts w:ascii="Times New Roman" w:hAnsi="Times New Roman" w:eastAsia="Times New Roman"/>
        </w:rPr>
        <w:t>We then transferred the rule, unchanged, to 30 external MyceliumSeg images with manual filament masks. The prospectively frozen experiment failed: only two masks met the prespecified requirement for a defined global reference axis because these biological networks were predominantly branching or multidirectional. Both eligible image measurements were accepted and agreed with the mask axis within a median 3.64°, but this denominator cannot support inference and four of six gates failed. This negative control establishes that a global FFT orientation should not be validated on a topology that has no stable global direction; a directionally organized collagen dataset is required for the external transfer claim.</w:t>
      </w:r>
    </w:p>
    <w:p>
      <w:r>
        <w:rPr>
          <w:rFonts w:ascii="Times New Roman" w:hAnsi="Times New Roman" w:eastAsia="Times New Roman"/>
        </w:rPr>
        <w:t>We therefore preregistered a fit-for-purpose transfer using the 199-image test split of an external SHG collection with manual collagen centerlines. Of 199 test patches from 115 source groups, 183 patches from 111 groups supplied an eligible reference axis. The unchanged synthetic rule accepted 174 (95.1%), but 58 accepted estimates disagreed by more than 10°, yielding 33.3% selective risk (source-group bootstrap 95% interval, 26.1–40.5%). Risk without abstention was 35.5%; the legacy rule accepted every eligible patch at the same 35.5% risk. Median disagreement among accepted patches was 6.44° and invalid-detection AUC was 0.677. Three of six gates passed. The synthetic reliability score therefore did not transfer to annotated SHG collagen.</w:t>
      </w:r>
    </w:p>
    <w:p>
      <w:r>
        <w:rPr>
          <w:rFonts w:ascii="Times New Roman" w:hAnsi="Times New Roman" w:eastAsia="Times New Roman"/>
        </w:rPr>
        <w:t>An estimator-consensus redesign combined the synthetic diagnostics with multiscale structure-tensor agreement. The separate 1,188-patch training archive was partitioned by source group before outcome inspection. Development included 619 eligible patches from 163 groups; invalid prevalence was 32.3% and AUC was 0.740. No probability threshold achieved the frozen requirement of at most 10% risk at at least 30% coverage. The model and null operating point were nevertheless carried into 384 eligible confirmation patches from 104 groups. Confirmation AUC was 0.705 and coverage was zero, so five of six gates failed. We interpret this abstention as an honest negative result: simple global-estimator consensus does not solve collagen orientation validity.</w:t>
      </w:r>
    </w:p>
    <w:p>
      <w:pPr>
        <w:keepNext/>
        <w:spacing w:before="120" w:after="20"/>
        <w:jc w:val="center"/>
      </w:pPr>
      <w:r>
        <w:drawing>
          <wp:inline xmlns:a="http://schemas.openxmlformats.org/drawingml/2006/main" xmlns:pic="http://schemas.openxmlformats.org/drawingml/2006/picture">
            <wp:extent cx="6309360" cy="5537098"/>
            <wp:docPr id="2" name="Picture 2"/>
            <wp:cNvGraphicFramePr>
              <a:graphicFrameLocks noChangeAspect="1"/>
            </wp:cNvGraphicFramePr>
            <a:graphic>
              <a:graphicData uri="http://schemas.openxmlformats.org/drawingml/2006/picture">
                <pic:pic>
                  <pic:nvPicPr>
                    <pic:cNvPr id="0" name="figure_2_synthetic_validation.png"/>
                    <pic:cNvPicPr/>
                  </pic:nvPicPr>
                  <pic:blipFill>
                    <a:blip r:embed="rId12"/>
                    <a:stretch>
                      <a:fillRect/>
                    </a:stretch>
                  </pic:blipFill>
                  <pic:spPr>
                    <a:xfrm>
                      <a:off x="0" y="0"/>
                      <a:ext cx="6309360" cy="5537098"/>
                    </a:xfrm>
                    <a:prstGeom prst="rect"/>
                  </pic:spPr>
                </pic:pic>
              </a:graphicData>
            </a:graphic>
          </wp:inline>
        </w:drawing>
      </w:r>
    </w:p>
    <w:p>
      <w:pPr>
        <w:pStyle w:val="Caption"/>
        <w:keepLines/>
      </w:pPr>
      <w:r>
        <w:rPr>
          <w:rFonts w:ascii="Times New Roman" w:hAnsi="Times New Roman" w:eastAsia="Times New Roman"/>
        </w:rPr>
        <w:t>Figure 2 | Analytic recovery, prospective failures and selective measurement. Synthetic constructs encode exact directional, morphological, geometric, network and spatial ground truth. Error trajectories and the module matrix show controlled perturbation behavior. The performance matrix retains the optimistic 16-case benchmark and the larger failed v2 and v3 distribution-shift tests. The coverage–risk curve shows the frozen selective FFT operating point and legacy QC comparator. The final panel contrasts low analytic risk with failed SHG transfer and zero-coverage estimator consensus.</w:t>
      </w:r>
    </w:p>
    <w:p>
      <w:r>
        <w:rPr>
          <w:rFonts w:ascii="Times New Roman" w:hAnsi="Times New Roman" w:eastAsia="Times New Roman"/>
        </w:rPr>
        <w:t>We next replaced the ill-posed global endpoint with local direction along manual collagen centerlines. An adaptive multiscale selector again failed development because no confidence threshold attained the frozen risk–coverage requirement. We therefore declared sigma 2 pixels as the measurement scale before computing local outcomes in the archive's official 199-patch test split. Across 19,657 eligible tangent positions from 115 source groups, median axial error was 6.72° (source-group bootstrap 95% interval, 6.24–7.25°), the 75th percentile was 13.82°, median source-group median error was 6.33° and axial alignment was 0.832. Sigma 4 produced median error 7.66°; a smoothed finite-difference gradient produced 41.24°. All eight gates passed. Because the same test split had previously been opened for a distinct global endpoint, this is endpoint-new evidence rather than pristine dataset-level confirmation.</w:t>
      </w:r>
    </w:p>
    <w:p>
      <w:r>
        <w:rPr>
          <w:rFonts w:ascii="Times New Roman" w:hAnsi="Times New Roman" w:eastAsia="Times New Roman"/>
        </w:rPr>
        <w:t>We then froze a pristine transfer to PSHG-TISS, in which local collagen direction is derived independently from polarization-resolved SHG rather than from the grayscale texture supplied to NOSTOS. The first unstained-skin protocol formally failed: median error was 82.25° across 53 ROIs and 1,263,724 eligible pixels, exposing an approximately orthogonal convention between the archived polarization-phase axis and the raster ridge axis. We retained that failure as coordinate-calibration development evidence. After inspection of the depositors' published fitting code, a single 90° instrument-to-raster transform was frozen before any unstained-breast image was downloaded. The untouched breast confirmation passed all nine gates across 48 ROIs and 1,367,747 pixels. Median axial error was 7.59° (ROI-bootstrap 95% interval, 7.26–7.91°), the 75th percentile was 13.94°, median ROI median error was 7.33° and axial alignment was 0.877. Sigma 4 yielded 7.43° and the smoothed-gradient comparator 26.03°. This confirms one calibrated local-direction field on a pristine tissue cohort, not an instrument-independent orientation convention.</w:t>
      </w:r>
    </w:p>
    <w:p>
      <w:r>
        <w:rPr>
          <w:rFonts w:ascii="Times New Roman" w:hAnsi="Times New Roman" w:eastAsia="Times New Roman"/>
        </w:rPr>
        <w:t>Official comparators were executed in isolated, pinned environments. Kymatio 0.3.0 scattering reached balanced accuracy 0.875 [12]. PyRadiomics reached 1.00, equal to NOSTOS [13]. Its installation reproduced all 14 evaluated first-order values from the IBSI digital phantom at the published three-significant-digit precision after the documented kurtosis convention was reconciled [5]. A separate read-only audit against the official IBSI benchmark workbook tested the 3-D texture aggregation conventions emitted by PyRadiomics: all 75 definitionally matched GLCM, GLRLM, GLSZM, GLDM and NGTDM features agreed at three significant digits, with four unsupported or non-equivalent workbook features retained as not comparable. This is mapped-feature conformance, not a claim that every IBSI feature or aggregation is implemented. The synthetic tie is important: the novelty claim rests on calibrated response geometry, perturbation accounting and abstention, not on defeating every feature library on a small classification task.</w:t>
      </w:r>
    </w:p>
    <w:p>
      <w:pPr>
        <w:pStyle w:val="Heading2"/>
      </w:pPr>
      <w:r>
        <w:t>Local thickness transfers to public three-dimensional bone data</w:t>
      </w:r>
    </w:p>
    <w:p>
      <w:r>
        <w:rPr>
          <w:rFonts w:ascii="Times New Roman" w:hAnsi="Times New Roman" w:eastAsia="Times New Roman"/>
        </w:rPr>
        <w:t>We next tested a module for which a spatially resolved external reference was available. Eight public trabecular-bone micro-CT volumes from Zenodo record 11061947 were analyzed with 32 frozen logarithmic radius levels. NOSTOS maximal-inscribed-sphere thickness was compared voxelwise with the archived IPL thickness maps. Across volumes, mean absolute relative bias was 8.05% (95% bootstrap interval, 6.83–9.25%), median voxelwise Spearman correlation was 0.927 and mean absolute error was 0.0189 mm. A twice-nearest-boundary approximation produced mean absolute error 0.0930 mm; the paired reduction was 0.0741 mm (exact one-sided Wilcoxon P=0.00391).</w:t>
      </w:r>
    </w:p>
    <w:p>
      <w:r>
        <w:rPr>
          <w:rFonts w:ascii="Times New Roman" w:hAnsi="Times New Roman" w:eastAsia="Times New Roman"/>
        </w:rPr>
        <w:t>This experiment verifies physical-unit agreement for one measurement on one public archive. It does not establish equivalence with all BoneJ implementations or transport across scanners, segmentation protocols and disease states. Those restrictions are encoded in the result receipt as part of the reported result rather than left to narrative qualification.</w:t>
      </w:r>
    </w:p>
    <w:p>
      <w:pPr>
        <w:keepNext/>
        <w:spacing w:before="120" w:after="20"/>
        <w:jc w:val="center"/>
      </w:pPr>
      <w:r>
        <w:drawing>
          <wp:inline xmlns:a="http://schemas.openxmlformats.org/drawingml/2006/main" xmlns:pic="http://schemas.openxmlformats.org/drawingml/2006/picture">
            <wp:extent cx="6309360" cy="3983166"/>
            <wp:docPr id="3" name="Picture 3"/>
            <wp:cNvGraphicFramePr>
              <a:graphicFrameLocks noChangeAspect="1"/>
            </wp:cNvGraphicFramePr>
            <a:graphic>
              <a:graphicData uri="http://schemas.openxmlformats.org/drawingml/2006/picture">
                <pic:pic>
                  <pic:nvPicPr>
                    <pic:cNvPr id="0" name="figure_3_bone_validation.png"/>
                    <pic:cNvPicPr/>
                  </pic:nvPicPr>
                  <pic:blipFill>
                    <a:blip r:embed="rId13"/>
                    <a:stretch>
                      <a:fillRect/>
                    </a:stretch>
                  </pic:blipFill>
                  <pic:spPr>
                    <a:xfrm>
                      <a:off x="0" y="0"/>
                      <a:ext cx="6309360" cy="3983166"/>
                    </a:xfrm>
                    <a:prstGeom prst="rect"/>
                  </pic:spPr>
                </pic:pic>
              </a:graphicData>
            </a:graphic>
          </wp:inline>
        </w:drawing>
      </w:r>
    </w:p>
    <w:p>
      <w:pPr>
        <w:pStyle w:val="Caption"/>
        <w:keepLines/>
      </w:pPr>
      <w:r>
        <w:rPr>
          <w:rFonts w:ascii="Times New Roman" w:hAnsi="Times New Roman" w:eastAsia="Times New Roman"/>
        </w:rPr>
        <w:t>Figure 3 | External validation of local thickness in public trabecular-bone micro-CT. Registered cutaways show the archived IPL map, NOSTOS maximal-inscribed-sphere thickness and their residual field. Voxelwise agreement and case-level mean absolute errors are shown for all eight volumes. Paired lines compare NOSTOS with the nearest-boundary approximation.</w:t>
      </w:r>
    </w:p>
    <w:p>
      <w:pPr>
        <w:pStyle w:val="Heading2"/>
      </w:pPr>
      <w:r>
        <w:t>One implementation operates across distinct biological domains</w:t>
      </w:r>
    </w:p>
    <w:p>
      <w:r>
        <w:rPr>
          <w:rFonts w:ascii="Times New Roman" w:hAnsi="Times New Roman" w:eastAsia="Times New Roman"/>
        </w:rPr>
        <w:t>The frozen framework was then applied without tissue-specific feature retraining to a filamentous-microscopy collection and to public human cartilage histology. Thirty MyceliumSeg images carried no physical pixel calibration, so NOSTOS reported only dimensionless image-relative coordinates and marked physical-scale outputs unavailable. The full representation classified species with balanced accuracy 0.680 in participant/image-level evaluation (permutation P=0.00498), compared with 0.668 for conventional scalars and 0.553 for naive response summaries. Several module ablations exceeded the full model. Species and acquisition conditions are confounded in this collection; the result supports the presence of transferable structural information, not biological generalization or optimality of the combined representation.</w:t>
      </w:r>
    </w:p>
    <w:p>
      <w:r>
        <w:rPr>
          <w:rFonts w:ascii="Times New Roman" w:hAnsi="Times New Roman" w:eastAsia="Times New Roman"/>
        </w:rPr>
        <w:t>We also evaluated spatial Hessian fields against manually annotated nuclei in the 50-image official BBBC039 test split [11]. The initial sign-agnostic response was inferior to both raw fluorescence intensity and a multiscale Laplacian-of-Gaussian baseline (mean average precision 0.513). Adding a declared bright-object polarity option increased mean average precision to 0.868 (95% image-bootstrap interval, 0.864–0.873) and ROC AUC to 0.943 (0.938–0.948), exceeding the Laplacian baseline by 0.083 and 0.062, respectively, while remaining inferior to raw intensity. This refinement followed inspection of the same test images; both receipts are retained and the polarity-aware result is labeled post-test development rather than confirmatory validation.</w:t>
      </w:r>
    </w:p>
    <w:p>
      <w:r>
        <w:rPr>
          <w:rFonts w:ascii="Times New Roman" w:hAnsi="Times New Roman" w:eastAsia="Times New Roman"/>
        </w:rPr>
        <w:t>We then froze that polarity-aware rule before two independent transfers. On all 16 BBBC007 DNA fields, it achieved mean average precision 0.760 and ROC AUC 0.901, but failed the prespecified AUC-superiority gate against Laplacian-of-Gaussian because the paired interval crossed zero (−0.008 to 0.030). On 20 manually outlined BBBC020 DAPI fields from a separate murine-macrophage acquisition, local-support average precision was 0.880 and ROC AUC was 0.915. This experiment also failed its comparator-superiority gate: the paired average-precision difference from Laplacian-of-Gaussian was −0.001 (95% interval, −0.011 to 0.008). Thus bright-object Hessian morphology transferred as a stable localization measurement, but did not outperform a conventional blob detector. The module is retained as one interpretable coordinate of NOSTOS, not presented as a novel segmentation algorithm.</w:t>
      </w:r>
    </w:p>
    <w:p>
      <w:r>
        <w:rPr>
          <w:rFonts w:ascii="Times New Roman" w:hAnsi="Times New Roman" w:eastAsia="Times New Roman"/>
        </w:rPr>
        <w:t>In cartilage, participant-level medial and lateral Safranin-O features from the public source cohort were paired with site-matched HHGS and OARSI outcomes; medial features were also compared with medial polarized-light scores [24–27]. The full response representation did not outperform the focused Fourier phenotype. Angular spectral entropy remained associated with structural scores after strict tile purity and 100–250-µm boundary and external-surface exclusions. However, exclusion of pixels within 25 µm of the darkest 1% of proposed-cartilage luminance attenuated the medial HHGS association from Spearman ρ=-0.381 to -0.274; the paired correlation difference was -0.106 with a participant-bootstrap interval excluding zero (-0.215 to -0.003). Nested prediction also fell from R^2=0.073 to 0.017. The lateral association was less affected. Proposal-defined void and internal-hole exclusions were identical to baseline and therefore non-informative.</w:t>
      </w:r>
    </w:p>
    <w:p>
      <w:r>
        <w:rPr>
          <w:rFonts w:ascii="Times New Roman" w:hAnsi="Times New Roman" w:eastAsia="Times New Roman"/>
        </w:rPr>
        <w:t>These ablations rule out a matrix-specific or cell-independent interpretation. They support a more limited conclusion: the entropy phenotype is robust to the tested boundary exclusions, while dark structures contribute at least medially. Cartilage proposals have not yet been compared with human reference masks. The cartilage analysis therefore remains exploratory and cannot validate segmentation, matrix organization or clinical utility.</w:t>
      </w:r>
    </w:p>
    <w:p>
      <w:pPr>
        <w:keepNext/>
        <w:spacing w:before="120" w:after="20"/>
        <w:jc w:val="center"/>
      </w:pPr>
      <w:r>
        <w:drawing>
          <wp:inline xmlns:a="http://schemas.openxmlformats.org/drawingml/2006/main" xmlns:pic="http://schemas.openxmlformats.org/drawingml/2006/picture">
            <wp:extent cx="6309360" cy="5351277"/>
            <wp:docPr id="4" name="Picture 4"/>
            <wp:cNvGraphicFramePr>
              <a:graphicFrameLocks noChangeAspect="1"/>
            </wp:cNvGraphicFramePr>
            <a:graphic>
              <a:graphicData uri="http://schemas.openxmlformats.org/drawingml/2006/picture">
                <pic:pic>
                  <pic:nvPicPr>
                    <pic:cNvPr id="0" name="figure_4_cross_domain_boundaries.png"/>
                    <pic:cNvPicPr/>
                  </pic:nvPicPr>
                  <pic:blipFill>
                    <a:blip r:embed="rId14"/>
                    <a:stretch>
                      <a:fillRect/>
                    </a:stretch>
                  </pic:blipFill>
                  <pic:spPr>
                    <a:xfrm>
                      <a:off x="0" y="0"/>
                      <a:ext cx="6309360" cy="5351277"/>
                    </a:xfrm>
                    <a:prstGeom prst="rect"/>
                  </pic:spPr>
                </pic:pic>
              </a:graphicData>
            </a:graphic>
          </wp:inline>
        </w:drawing>
      </w:r>
    </w:p>
    <w:p>
      <w:pPr>
        <w:pStyle w:val="Caption"/>
        <w:keepLines/>
      </w:pPr>
      <w:r>
        <w:rPr>
          <w:rFonts w:ascii="Times New Roman" w:hAnsi="Times New Roman" w:eastAsia="Times New Roman"/>
        </w:rPr>
        <w:t>Figure 4 | Frozen cross-domain measurement and its validity boundaries. The same implementation is applied to SHG collagen, cartilage histology and Hoechst fluorescence. Collagen panels pair the source image with manual tangent directions and the scale-declared NOSTOS local field. Cartilage panels pair the source section with its algorithmic proposal and participant-level exclusion estimates. Nuclei panels show the source, manual foreground, failed sign-agnostic field, polarity-aware field and held-out localization metrics. We retain failed or weaker conditions rather than displaying only the strongest analysis.</w:t>
      </w:r>
    </w:p>
    <w:p>
      <w:pPr>
        <w:pStyle w:val="Heading2"/>
      </w:pPr>
      <w:r>
        <w:t>Reproducibility is part of the measurement</w:t>
      </w:r>
    </w:p>
    <w:p>
      <w:r>
        <w:rPr>
          <w:rFonts w:ascii="Times New Roman" w:hAnsi="Times New Roman" w:eastAsia="Times New Roman"/>
        </w:rPr>
        <w:t>Every validation writes a machine-readable receipt containing the protocol version, input identity, numerical results, validity status and interpretive boundary. Metric choice and case-level uncertainty follow problem-aware image-validation principles [22,23]. A separate evidence index checks receipt availability and hashes. The release builder constructs a deterministic data-free archive, replaces private development roots with portable placeholders, scans for credentials and absolute paths and records the SHA-256 of every included file. The current source tree passes 143 tests, with two optional-comparator tests skipped. The public repository runs the same core suite and release audit on clean Linux runners under Python 3.12 and 3.13.</w:t>
      </w:r>
    </w:p>
    <w:p>
      <w:r>
        <w:rPr>
          <w:rFonts w:ascii="Times New Roman" w:hAnsi="Times New Roman" w:eastAsia="Times New Roman"/>
        </w:rPr>
        <w:t>The release also exposes a one-command, data-free replication challenge. It regenerates the synthetic truth validation, representation benchmark and module perturbation matrix, evaluates eight frozen semantic gates and records the interpreter, operating system, source revision and SHA-256 of each receipt. The author-operated reference run passed all gates. This verifies the challenge mechanism, not external replication; an independently operated receipt remains required.</w:t>
      </w:r>
    </w:p>
    <w:p>
      <w:r>
        <w:rPr>
          <w:rFonts w:ascii="Times New Roman" w:hAnsi="Times New Roman" w:eastAsia="Times New Roman"/>
        </w:rPr>
        <w:t>This infrastructure improves auditability but is not independent scientific replication. The evidence index explicitly reports NOSTOS-0 as not ready for a flagship methods claim while blinded cartilage-mask validation, platform-level representation confirmation, complete comparator checks, external-user replication and an archival DOI remain open.</w:t>
      </w:r>
    </w:p>
    <w:p>
      <w:pPr>
        <w:pStyle w:val="Heading1"/>
      </w:pPr>
      <w:r>
        <w:t>Discussion</w:t>
      </w:r>
    </w:p>
    <w:p>
      <w:r>
        <w:rPr>
          <w:rFonts w:ascii="Times New Roman" w:hAnsi="Times New Roman" w:eastAsia="Times New Roman"/>
        </w:rPr>
        <w:t>NOSTOS formalizes a common structural response geometry across spectral, directional, morphological, geometric, network and spatial measurements. Its main contribution is not a new Fourier transform, vesselness filter or thickness algorithm. It is the decision to preserve physically indexed response curves, attach perturbation behavior and failure semantics to each measurement, and expose the same typed object across distinct image classes. This organization makes familiar algorithms more falsifiable: the scale at which a response arises remains visible, resampling can be tested in physical units and segmentation uncertainty cannot be mistaken for invariance.</w:t>
      </w:r>
    </w:p>
    <w:p>
      <w:r>
        <w:rPr>
          <w:rFonts w:ascii="Times New Roman" w:hAnsi="Times New Roman" w:eastAsia="Times New Roman"/>
        </w:rPr>
        <w:t>The present evidence also defines the limits of the framework. PyRadiomics tied NOSTOS on the synthetic classification split. Several filament ablations exceeded the full representation. The full representation did not outperform focused Fourier features in cartilage. These findings reject a universal-superiority claim and argue against indiscriminate feature concatenation. The benefit of the shared geometry must instead be judged through measurement coverage, calibration, perturbation stability, interpretable failure and prospective utility in each domain.</w:t>
      </w:r>
    </w:p>
    <w:p>
      <w:r>
        <w:rPr>
          <w:rFonts w:ascii="Times New Roman" w:hAnsi="Times New Roman" w:eastAsia="Times New Roman"/>
        </w:rPr>
        <w:t>A deliberately difficult biological identity test sharpened that boundary. Sixty confirmation specimens from four public domains were transformed by a frozen compound shift and retrieved only against candidates from the same domain. Stability-weighted canonical geometry achieved macro top-1 accuracy 0.100, with a 95% bootstrap interval of 0.033–0.183, and failed six substantive gates. Neither conventional summaries nor the prespecified response variants rescued the task; a post-failure orbit redesign remained development-only and weak. NOSTOS therefore does not claim that a compact structural representation preserves specimen identity under arbitrary acquisition change. Shared measurements must instead be validated against endpoints appropriate to the quantity measured, such as angular error, physical thickness error or boundary localization.</w:t>
      </w:r>
    </w:p>
    <w:p>
      <w:r>
        <w:rPr>
          <w:rFonts w:ascii="Times New Roman" w:hAnsi="Times New Roman" w:eastAsia="Times New Roman"/>
        </w:rPr>
        <w:t>Boundary localization supplied a second negative control on scope. Before image extraction, we froze a patient-disjoint evaluation of a training-free dynamic-path adapter on 35 public PTA-enhanced osteochondral micro-CT samples with registered hard-tissue masks. The adapter was selected only on nine development patients; no admissible confidence threshold achieved the development risk criterion. In 532 locked slices from ten confirmation patients, median interface error was 537.2 µm (patient-bootstrap interval 465.2–846.2), only 0.39% of columns were within 30 µm and median ±75-µm band IoU was 0.005. Error exceeded the global-threshold comparator by a paired median 421.8 µm, and none of six measurements from predicted and reference interface bands reached concordance correlation 0.85. The classical adapter is rejected. The result reinforces the architectural separation between the sample-agnostic measurement grammar and modality-specific ROI sources: user masks and imported model outputs remain valid inputs, but segmentation accuracy must be established independently for each adapter.</w:t>
      </w:r>
    </w:p>
    <w:p>
      <w:r>
        <w:rPr>
          <w:rFonts w:ascii="Times New Roman" w:hAnsi="Times New Roman" w:eastAsia="Times New Roman"/>
        </w:rPr>
        <w:t>Three validation gaps remain decisive. First, although calibrated local orientation now has pristine confirmation, the platform-level comparison geometry has not passed a prospective biological distribution shift: raw concatenation failed v2, rotation quotienting failed v3 and two Hessian transfers failed comparator-superiority gates. Second, downstream biological claims require independently reviewed masks and object annotations; stable measurements within an incorrect region remain incorrect. Third, external users must reproduce at least one complete result from the archived release. Until those gates close, NOSTOS is an openly testable platform with strong module-level evidence, not a completed Nature Methods claim.</w:t>
      </w:r>
    </w:p>
    <w:p>
      <w:pPr>
        <w:pStyle w:val="Heading1"/>
      </w:pPr>
      <w:r>
        <w:t>Methods</w:t>
      </w:r>
    </w:p>
    <w:p>
      <w:pPr>
        <w:pStyle w:val="Heading2"/>
      </w:pPr>
      <w:r>
        <w:t>Response object and coordinate conventions</w:t>
      </w:r>
    </w:p>
    <w:p>
      <w:r>
        <w:rPr>
          <w:rFonts w:ascii="Times New Roman" w:hAnsi="Times New Roman" w:eastAsia="Times New Roman"/>
        </w:rPr>
        <w:t>The response schema stores module, measurement, axes, axis units, optional direction, values, stability statistics, validity state, abstention reasons and provenance. Spatial scale is expressed in micrometres or millimetres when pixel or voxel spacing is supplied. When physical calibration is absent, physical-scale measurements abstain or are reported only in explicitly declared specimen-relative coordinates. Directions are stored in image coordinates and may additionally be transformed to specimen coordinates when a transformation is supplied.</w:t>
      </w:r>
    </w:p>
    <w:p>
      <w:pPr>
        <w:pStyle w:val="Heading2"/>
      </w:pPr>
      <w:r>
        <w:t>Synthetic constructs and perturbations</w:t>
      </w:r>
    </w:p>
    <w:p>
      <w:r>
        <w:rPr>
          <w:rFonts w:ascii="Times New Roman" w:hAnsi="Times New Roman" w:eastAsia="Times New Roman"/>
        </w:rPr>
        <w:t>Synthetic images and volumes were produced deterministically from stored seeds and analytic parameters. Ground truth included programmed orientation, angular dispersion, wavelength, radius or thickness, surface spectrum, graph structure and covariance range. Rotation, resampling, crop, blur, additive noise, contrast, anisotropic point-spread function, partial volume and mask perturbations were applied using frozen parameter grids. Module-specific acceptance tests were declared before execution. Mask perturbations were reported as sensitivity experiments.</w:t>
      </w:r>
    </w:p>
    <w:p>
      <w:pPr>
        <w:pStyle w:val="Heading2"/>
      </w:pPr>
      <w:r>
        <w:t>Structural modules</w:t>
      </w:r>
    </w:p>
    <w:p>
      <w:r>
        <w:rPr>
          <w:rFonts w:ascii="Times New Roman" w:hAnsi="Times New Roman" w:eastAsia="Times New Roman"/>
        </w:rPr>
        <w:t>Spectral responses used windowed Fourier power summarized over angular and radial coordinates. Structure-tensor responses were computed across declared derivative and integration scales. Hessian eigenvalue responses were scale normalized and converted to blob, tube and sheet signatures while retaining their scale curves. Local thickness used a discretized maximal-inscribed-sphere construction with physical spacing. Network responses summarized skeleton structure and component survival during calibrated erosion. Spatial responses used directional empirical variograms over declared separation bins. Exact parameters and eligibility rules are stored in the versioned configuration and source code.</w:t>
      </w:r>
    </w:p>
    <w:p>
      <w:pPr>
        <w:pStyle w:val="Heading2"/>
      </w:pPr>
      <w:r>
        <w:t>Synthetic representation benchmark</w:t>
      </w:r>
    </w:p>
    <w:p>
      <w:r>
        <w:rPr>
          <w:rFonts w:ascii="Times New Roman" w:hAnsi="Times New Roman" w:eastAsia="Times New Roman"/>
        </w:rPr>
        <w:t>Four construct classes were separated into frozen development perturbations and disjoint held-out perturbation types or magnitudes. Conventional scalars, naive response summaries, full response curves and six leave-one-module-out representations used the same linear support-vector classifier and identical samples. Kymatio and PyRadiomics used isolated environments because their dependency ranges conflict with the core environment. This benchmark was descriptive and no inferential superiority claim was assigned to its 16 held-out observations.</w:t>
      </w:r>
    </w:p>
    <w:p>
      <w:r>
        <w:rPr>
          <w:rFonts w:ascii="Times New Roman" w:hAnsi="Times New Roman" w:eastAsia="Times New Roman"/>
        </w:rPr>
        <w:t>Benchmark v2 used six constructs, 40 training and 40 test images per construct, disjoint seeds and compound test shifts. Every image was standardized identically before feature extraction. Raw response curves, matched collapsed summaries, conventional scalars, PyRadiomics and Kymatio used the same fixed linear support-vector classifier. Stratified bootstrap intervals resampled cases within construct. Five success gates were checksum frozen before feature extraction. After failure, canonical comparison geometry was defined without altering retained raw measurements: absolute Fourier direction is omitted only from the comparison view, tensor angles are expressed relative to their weighted axial mean, and paired directional variograms become their mean and unsigned anisotropy.</w:t>
      </w:r>
    </w:p>
    <w:p>
      <w:r>
        <w:rPr>
          <w:rFonts w:ascii="Times New Roman" w:hAnsi="Times New Roman" w:eastAsia="Times New Roman"/>
        </w:rPr>
        <w:t>Confirmation v3 used 50 training and 50 test images for each of the same six constructs, new seeds and different compound perturbations. Seven gates tested absolute accuracy, paired improvement over raw coordinates, non-inferiority to three comparators, module contribution and standardized same-construct distance. All were frozen before generation. Following its failure, stability reliability was developed exclusively on training cases with two independently generated perturbation replicas and five case-level folds. Reliability fitting used no class labels; the downstream classifier remained fixed.</w:t>
      </w:r>
    </w:p>
    <w:p>
      <w:r>
        <w:rPr>
          <w:rFonts w:ascii="Times New Roman" w:hAnsi="Times New Roman" w:eastAsia="Times New Roman"/>
        </w:rPr>
        <w:t>Selective FFT validation used analytic gratings with registered axial direction, wavelength and physical spacing. Internal probes comprised fixed ±4° rotations, mild blur and center cropping. The maximum normalized disagreement across angle, wavelength, anisotropy, entropy, SNR and sampling components formed the score. The development-selected threshold was checksum locked before confirmation. A valid estimate required angular error no greater than 5° and relative wavelength error no greater than 0.15. Wilson intervals quantified invalid risk among accepted cases; case bootstrap quantified risk reduction.</w:t>
      </w:r>
    </w:p>
    <w:p>
      <w:r>
        <w:rPr>
          <w:rFonts w:ascii="Times New Roman" w:hAnsi="Times New Roman" w:eastAsia="Times New Roman"/>
        </w:rPr>
        <w:t>External orientation transfer used two public manually annotated filament archives. MyceliumSeg images and masks were center-cropped and jointly resized to 128 × 128 pixels; the binary mask supplied an independent FFT reference axis. The frozen protocol required mask coverage of at least 0.5% and reference anisotropy of at least 0.15. The SHG collagen experiment used only the archive's 199-patch official test split. Each image and manual centerline label was resized from 256 × 256 to 128 × 128 pixels. Labels supplied the reference axis but were not inputs to the image score. Reference eligibility required at least 0.1% centerline coverage and label anisotropy of at least 0.15; disagreement greater than 10° was invalid. Source groups were defined by removing the terminal tile field from the supplied identifier. Wilson intervals and 10,000-draw source-group bootstrap intervals quantified selective risk.</w:t>
      </w:r>
    </w:p>
    <w:p>
      <w:r>
        <w:rPr>
          <w:rFonts w:ascii="Times New Roman" w:hAnsi="Times New Roman" w:eastAsia="Times New Roman"/>
        </w:rPr>
        <w:t>For estimator-consensus development, only the separate 1,188-patch SHG training split was used. Source groups were deterministically assigned 60:40 to development and internal confirmation by SHA-256 hash before outcome calculation. Coordinates comprised the synthetic self-perturbation diagnostics, FFT anisotropy, entropy, SNR and wavelength, structure-tensor orientations and coherences at 1, 2, 4 and 8 pixels, FFT–tensor disagreement and tensor interscale spread. A standardized L2-penalized logistic regression with balanced class weights predicted invalidity. The highest-coverage development threshold with risk no greater than 10% and coverage at least 30% was to be locked for confirmation. Because no threshold qualified, confirmation correctly inherited a null operating point. This same-archive group split was not treated as independent acquisition.</w:t>
      </w:r>
    </w:p>
    <w:p>
      <w:r>
        <w:rPr>
          <w:rFonts w:ascii="Times New Roman" w:hAnsi="Times New Roman" w:eastAsia="Times New Roman"/>
        </w:rPr>
        <w:t>Local reference tangents were derived from one-pixel-thinned manual centerlines. At pixels at least six pixels from an image edge, centerline coordinates within a five-pixel radius were retained when at least five coordinates were present and coordinate-covariance anisotropy was at least 0.70. The principal covariance eigenvector defined the axial tangent. Image structure tensors were computed at sigma 1, 2, 4 and 8 pixels. The adaptive selector maximized coherence multiplied by normalized energy and penalized interscale angular spread; it failed development. The external-test endpoint therefore reported the prespecified sigma-2 field without confidence filtering. Source-group bootstrap resampled complete source groups and retained all their eligible tangent pixels. Axial alignment was the mean cosine of twice the angular error.</w:t>
      </w:r>
    </w:p>
    <w:p>
      <w:r>
        <w:rPr>
          <w:rFonts w:ascii="Times New Roman" w:hAnsi="Times New Roman" w:eastAsia="Times New Roman"/>
        </w:rPr>
        <w:t>PSHG-TISS transfer used every unstained-skin FSHG ROI for development and every untouched unstained-breast FSHG ROI for confirmation. For each ROI, all ten polarization frames were averaged to form the NOSTOS intensity input. The archived FI orientation, R2 and SNR maps were read only for reference construction and eligibility. Eligible pixels had R2 at least 0.90, SNR at least 3 dB, positive mean intensity and at least eight pixels of edge clearance. Skin exposed an approximately 90° difference between the archived polarization-phase coordinate and raster ridge direction. Inspection of the depositors' published fitting implementation supported an instrument-coordinate explanation; a single 90° transform was then checksum frozen before breast download. The unchanged sigma-2 field was compared with sigma 4 and a sigma-2 smoothed-gradient line direction. A 10,000-draw bootstrap resampled whole ROIs and retained all their eligible pixels.</w:t>
      </w:r>
    </w:p>
    <w:p>
      <w:pPr>
        <w:pStyle w:val="Heading2"/>
      </w:pPr>
      <w:r>
        <w:t>External bone validation</w:t>
      </w:r>
    </w:p>
    <w:p>
      <w:r>
        <w:rPr>
          <w:rFonts w:ascii="Times New Roman" w:hAnsi="Times New Roman" w:eastAsia="Times New Roman"/>
        </w:rPr>
        <w:t>Eight matched segmentation and IPL thickness volumes were drawn from Zenodo record 11061947 under CC BY 4.0. The declared three-case pilot preceded freezing of 32 logarithmic radius levels. Voxelwise Spearman correlation, mean absolute error and volume-level relative bias were calculated against the archived maps. Uncertainty for the mean absolute relative bias used volume-level bootstrap resampling. The nearest-boundary comparator was evaluated on the same volumes; paired error was tested with an exact one-sided Wilcoxon signed-rank test.</w:t>
      </w:r>
    </w:p>
    <w:p>
      <w:pPr>
        <w:pStyle w:val="Heading2"/>
      </w:pPr>
      <w:r>
        <w:t>Filament, nuclei and cartilage analyses</w:t>
      </w:r>
    </w:p>
    <w:p>
      <w:r>
        <w:rPr>
          <w:rFonts w:ascii="Times New Roman" w:hAnsi="Times New Roman" w:eastAsia="Times New Roman"/>
        </w:rPr>
        <w:t>Thirty annotated MyceliumSeg images were processed with the frozen implementation. Species prediction operated at the image level with permutation inference; absent physical calibration was recorded as a validity restriction. Cartilage analyses used participant-level summaries. Medial and lateral features were paired only with same-site HHGS and OARSI outcomes, and PLM was evaluated medially. Correlation uncertainty used 2,000 participant bootstrap samples. Prediction used ten repeats of five-fold participant-grouped outer cross-validation with inner ridge regularization. Boundary, surface, purity, void, hole and extreme-dark-object variants were computed from identical inputs and paired by participant. Proposal masks were not treated as reference annotations.</w:t>
      </w:r>
    </w:p>
    <w:p>
      <w:r>
        <w:rPr>
          <w:rFonts w:ascii="Times New Roman" w:hAnsi="Times New Roman" w:eastAsia="Times New Roman"/>
        </w:rPr>
        <w:t>BBBC039 archives were checksum locked and only the official 50-image test list was evaluated. Images and masks were resized together to a maximum dimension of 256 pixels. The frozen dimensionless scales were 2, 4 and 8 pixels. Per-image average precision and ROC AUC compared the maximum scale-resolved Hessian blob field with normalized fluorescence intensity and absolute multiscale Laplacian-of-Gaussian. Confidence intervals resampled images. Version 1.0 was sign agnostic; version 1.1 declared bright-object polarity after the version 1.0 result exposed polarity mixing on this same test split.</w:t>
      </w:r>
    </w:p>
    <w:p>
      <w:r>
        <w:rPr>
          <w:rFonts w:ascii="Times New Roman" w:hAnsi="Times New Roman" w:eastAsia="Times New Roman"/>
        </w:rPr>
        <w:t>The BBBC007 and BBBC020 protocols were checksum frozen before outcome calculation. BBBC007 included all 16 DNA fields and filled the archived closed manual outlines. BBBC020 included all 20 DAPI fields with archived manual nuclei. Because BBBC020 intentionally omits ambiguous, overlapping and edge objects, evaluation was restricted to each annotated nucleus and a four-pixel local outer ring after resizing; other annotated nuclei were removed from the ring. Both protocols retained the BBBC039-informed bright polarity and 2, 4 and 8-pixel scales, used image-level bootstrap intervals, and retained failed gates in the evidence index.</w:t>
      </w:r>
    </w:p>
    <w:p>
      <w:pPr>
        <w:pStyle w:val="Heading2"/>
      </w:pPr>
      <w:r>
        <w:t>Software and reproducibility</w:t>
      </w:r>
    </w:p>
    <w:p>
      <w:r>
        <w:rPr>
          <w:rFonts w:ascii="Times New Roman" w:hAnsi="Times New Roman" w:eastAsia="Times New Roman"/>
        </w:rPr>
        <w:t xml:space="preserve">NOSTOS 0.3.0 requires Python 3.12 or newer. The numerical implementation uses NumPy, SciPy, scikit-image and scikit-learn [14–17]. The core environment is locked in </w:t>
      </w:r>
      <w:r>
        <w:rPr>
          <w:rFonts w:ascii="Times New Roman" w:hAnsi="Times New Roman" w:eastAsia="Times New Roman"/>
          <w:color w:val="373737"/>
          <w:sz w:val="18"/>
        </w:rPr>
        <w:t>uv.lock</w:t>
      </w:r>
      <w:r>
        <w:rPr>
          <w:rFonts w:ascii="Times New Roman" w:hAnsi="Times New Roman" w:eastAsia="Times New Roman"/>
        </w:rPr>
        <w:t xml:space="preserve">; comparator environments are specified separately. Tests, configurations, input manifests, output receipts and the evidence index are versioned with the source. Release candidates are generated by </w:t>
      </w:r>
      <w:r>
        <w:rPr>
          <w:rFonts w:ascii="Times New Roman" w:hAnsi="Times New Roman" w:eastAsia="Times New Roman"/>
          <w:color w:val="373737"/>
          <w:sz w:val="18"/>
        </w:rPr>
        <w:t>nostos-build-release</w:t>
      </w:r>
      <w:r>
        <w:rPr>
          <w:rFonts w:ascii="Times New Roman" w:hAnsi="Times New Roman" w:eastAsia="Times New Roman"/>
        </w:rPr>
        <w:t xml:space="preserve">, which allowlists code and small evidence artifacts, excludes source microscopy and scans staged text for secrets and private paths. The public </w:t>
      </w:r>
      <w:r>
        <w:rPr>
          <w:rFonts w:ascii="Times New Roman" w:hAnsi="Times New Roman" w:eastAsia="Times New Roman"/>
          <w:color w:val="373737"/>
          <w:sz w:val="18"/>
        </w:rPr>
        <w:t>v0.3.0-rc13</w:t>
      </w:r>
      <w:r>
        <w:rPr>
          <w:rFonts w:ascii="Times New Roman" w:hAnsi="Times New Roman" w:eastAsia="Times New Roman"/>
        </w:rPr>
        <w:t xml:space="preserve"> tag identifies the clean-room-tested research candidate containing the mapped IBSI texture-conformance audit, pristine PSHG local-orientation confirmation, and retained prospective failures of universal identity retrieval and a training-free osteochondral-interface adapter.</w:t>
      </w:r>
    </w:p>
    <w:p>
      <w:pPr>
        <w:pStyle w:val="Heading2"/>
      </w:pPr>
      <w:r>
        <w:t>Data and code availability</w:t>
      </w:r>
    </w:p>
    <w:p>
      <w:r>
        <w:rPr>
          <w:rFonts w:ascii="Times New Roman" w:hAnsi="Times New Roman" w:eastAsia="Times New Roman"/>
        </w:rPr>
        <w:t>Source data remain in their originating public repositories and are not redistributed. NOSTOS source, tests, configurations and compact validation receipts are available at https://github.com/RonnieHappy/NOSTOS under the BSD 3-Clause License. The current release is a tagged candidate and does not yet have an archival DOI. Dataset DOIs, source commits and input hashes are recorded in the manifests and receipts.</w:t>
      </w:r>
    </w:p>
    <w:p>
      <w:pPr>
        <w:pStyle w:val="Heading1"/>
      </w:pPr>
      <w:r>
        <w:t>Reporting summary and administrative statements</w:t>
      </w:r>
    </w:p>
    <w:p>
      <w:r>
        <w:rPr>
          <w:rFonts w:ascii="Times New Roman" w:hAnsi="Times New Roman" w:eastAsia="Times New Roman"/>
        </w:rPr>
        <w:t>The work is secondary computational analysis of public de-identified datasets and synthetic data. Institutional secondary-analysis determination, author name and affiliation, author contributions, funding, acknowledgements and competing-interest statements require author confirmation before submission. No clinical use is claimed.</w:t>
      </w:r>
    </w:p>
    <w:p>
      <w:pPr>
        <w:pStyle w:val="Heading1"/>
      </w:pPr>
      <w:r>
        <w:t>References</w:t>
      </w:r>
    </w:p>
    <w:p>
      <w:pPr>
        <w:spacing w:after="0" w:line="240" w:lineRule="auto"/>
        <w:ind w:left="259" w:hanging="259"/>
      </w:pPr>
      <w:r>
        <w:rPr>
          <w:rFonts w:ascii="Times New Roman" w:hAnsi="Times New Roman" w:eastAsia="Times New Roman"/>
          <w:sz w:val="15"/>
        </w:rPr>
        <w:t xml:space="preserve">1. Frangi, A. F. et al. Multiscale vessel enhancement filtering. </w:t>
      </w:r>
      <w:r>
        <w:rPr>
          <w:rFonts w:ascii="Times New Roman" w:hAnsi="Times New Roman" w:eastAsia="Times New Roman"/>
          <w:i/>
          <w:sz w:val="15"/>
        </w:rPr>
        <w:t>Medical Image Computing and Computer-Assisted Intervention</w:t>
      </w:r>
      <w:r>
        <w:rPr>
          <w:rFonts w:ascii="Times New Roman" w:hAnsi="Times New Roman" w:eastAsia="Times New Roman"/>
          <w:sz w:val="15"/>
        </w:rPr>
        <w:t xml:space="preserve"> (1998). https://doi.org/10.1007/BFb0056195</w:t>
      </w:r>
    </w:p>
    <w:p>
      <w:pPr>
        <w:spacing w:after="0" w:line="240" w:lineRule="auto"/>
        <w:ind w:left="259" w:hanging="259"/>
      </w:pPr>
      <w:r>
        <w:rPr>
          <w:rFonts w:ascii="Times New Roman" w:hAnsi="Times New Roman" w:eastAsia="Times New Roman"/>
          <w:sz w:val="15"/>
        </w:rPr>
        <w:t xml:space="preserve">2. Sato, Y. et al. Three-dimensional multi-scale line filter for segmentation and visualization of curvilinear structures in medical images. </w:t>
      </w:r>
      <w:r>
        <w:rPr>
          <w:rFonts w:ascii="Times New Roman" w:hAnsi="Times New Roman" w:eastAsia="Times New Roman"/>
          <w:i/>
          <w:sz w:val="15"/>
        </w:rPr>
        <w:t>Medical Image Analysis</w:t>
      </w:r>
      <w:r>
        <w:rPr>
          <w:rFonts w:ascii="Times New Roman" w:hAnsi="Times New Roman" w:eastAsia="Times New Roman"/>
          <w:sz w:val="15"/>
        </w:rPr>
        <w:t xml:space="preserve"> </w:t>
      </w:r>
      <w:r>
        <w:rPr>
          <w:rFonts w:ascii="Times New Roman" w:hAnsi="Times New Roman" w:eastAsia="Times New Roman"/>
          <w:b/>
          <w:sz w:val="15"/>
        </w:rPr>
        <w:t>2</w:t>
      </w:r>
      <w:r>
        <w:rPr>
          <w:rFonts w:ascii="Times New Roman" w:hAnsi="Times New Roman" w:eastAsia="Times New Roman"/>
          <w:sz w:val="15"/>
        </w:rPr>
        <w:t>, 143–168 (1998). https://doi.org/10.1016/S1361-8415(98)80009-1</w:t>
      </w:r>
    </w:p>
    <w:p>
      <w:pPr>
        <w:spacing w:after="0" w:line="240" w:lineRule="auto"/>
        <w:ind w:left="259" w:hanging="259"/>
      </w:pPr>
      <w:r>
        <w:rPr>
          <w:rFonts w:ascii="Times New Roman" w:hAnsi="Times New Roman" w:eastAsia="Times New Roman"/>
          <w:sz w:val="15"/>
        </w:rPr>
        <w:t xml:space="preserve">3. Hildebrand, T. &amp; Rüegsegger, P. A new method for the model-independent assessment of thickness in three-dimensional images. </w:t>
      </w:r>
      <w:r>
        <w:rPr>
          <w:rFonts w:ascii="Times New Roman" w:hAnsi="Times New Roman" w:eastAsia="Times New Roman"/>
          <w:i/>
          <w:sz w:val="15"/>
        </w:rPr>
        <w:t>Journal of Microscopy</w:t>
      </w:r>
      <w:r>
        <w:rPr>
          <w:rFonts w:ascii="Times New Roman" w:hAnsi="Times New Roman" w:eastAsia="Times New Roman"/>
          <w:sz w:val="15"/>
        </w:rPr>
        <w:t xml:space="preserve"> </w:t>
      </w:r>
      <w:r>
        <w:rPr>
          <w:rFonts w:ascii="Times New Roman" w:hAnsi="Times New Roman" w:eastAsia="Times New Roman"/>
          <w:b/>
          <w:sz w:val="15"/>
        </w:rPr>
        <w:t>185</w:t>
      </w:r>
      <w:r>
        <w:rPr>
          <w:rFonts w:ascii="Times New Roman" w:hAnsi="Times New Roman" w:eastAsia="Times New Roman"/>
          <w:sz w:val="15"/>
        </w:rPr>
        <w:t>, 67–75 (1997).</w:t>
      </w:r>
    </w:p>
    <w:p>
      <w:pPr>
        <w:spacing w:after="0" w:line="240" w:lineRule="auto"/>
        <w:ind w:left="259" w:hanging="259"/>
      </w:pPr>
      <w:r>
        <w:rPr>
          <w:rFonts w:ascii="Times New Roman" w:hAnsi="Times New Roman" w:eastAsia="Times New Roman"/>
          <w:sz w:val="15"/>
        </w:rPr>
        <w:t xml:space="preserve">4. Mallat, S. Group invariant scattering. </w:t>
      </w:r>
      <w:r>
        <w:rPr>
          <w:rFonts w:ascii="Times New Roman" w:hAnsi="Times New Roman" w:eastAsia="Times New Roman"/>
          <w:i/>
          <w:sz w:val="15"/>
        </w:rPr>
        <w:t>Communications on Pure and Applied Mathematics</w:t>
      </w:r>
      <w:r>
        <w:rPr>
          <w:rFonts w:ascii="Times New Roman" w:hAnsi="Times New Roman" w:eastAsia="Times New Roman"/>
          <w:sz w:val="15"/>
        </w:rPr>
        <w:t xml:space="preserve"> </w:t>
      </w:r>
      <w:r>
        <w:rPr>
          <w:rFonts w:ascii="Times New Roman" w:hAnsi="Times New Roman" w:eastAsia="Times New Roman"/>
          <w:b/>
          <w:sz w:val="15"/>
        </w:rPr>
        <w:t>65</w:t>
      </w:r>
      <w:r>
        <w:rPr>
          <w:rFonts w:ascii="Times New Roman" w:hAnsi="Times New Roman" w:eastAsia="Times New Roman"/>
          <w:sz w:val="15"/>
        </w:rPr>
        <w:t>, 1331–1398 (2012).</w:t>
      </w:r>
    </w:p>
    <w:p>
      <w:pPr>
        <w:spacing w:after="0" w:line="240" w:lineRule="auto"/>
        <w:ind w:left="259" w:hanging="259"/>
      </w:pPr>
      <w:r>
        <w:rPr>
          <w:rFonts w:ascii="Times New Roman" w:hAnsi="Times New Roman" w:eastAsia="Times New Roman"/>
          <w:sz w:val="15"/>
        </w:rPr>
        <w:t xml:space="preserve">5. Zwanenburg, A. et al. The Image Biomarker Standardization Initiative: standardized quantitative radiomics for high-throughput image-based phenotyping. </w:t>
      </w:r>
      <w:r>
        <w:rPr>
          <w:rFonts w:ascii="Times New Roman" w:hAnsi="Times New Roman" w:eastAsia="Times New Roman"/>
          <w:i/>
          <w:sz w:val="15"/>
        </w:rPr>
        <w:t>Radiology</w:t>
      </w:r>
      <w:r>
        <w:rPr>
          <w:rFonts w:ascii="Times New Roman" w:hAnsi="Times New Roman" w:eastAsia="Times New Roman"/>
          <w:sz w:val="15"/>
        </w:rPr>
        <w:t xml:space="preserve"> </w:t>
      </w:r>
      <w:r>
        <w:rPr>
          <w:rFonts w:ascii="Times New Roman" w:hAnsi="Times New Roman" w:eastAsia="Times New Roman"/>
          <w:b/>
          <w:sz w:val="15"/>
        </w:rPr>
        <w:t>295</w:t>
      </w:r>
      <w:r>
        <w:rPr>
          <w:rFonts w:ascii="Times New Roman" w:hAnsi="Times New Roman" w:eastAsia="Times New Roman"/>
          <w:sz w:val="15"/>
        </w:rPr>
        <w:t>, 328–338 (2020). https://doi.org/10.1148/radiol.2020191145</w:t>
      </w:r>
    </w:p>
    <w:p>
      <w:pPr>
        <w:spacing w:after="0" w:line="240" w:lineRule="auto"/>
        <w:ind w:left="259" w:hanging="259"/>
      </w:pPr>
      <w:r>
        <w:rPr>
          <w:rFonts w:ascii="Times New Roman" w:hAnsi="Times New Roman" w:eastAsia="Times New Roman"/>
          <w:sz w:val="15"/>
        </w:rPr>
        <w:t xml:space="preserve">6. Carpenter, A. E. et al. CellProfiler: image analysis software for identifying and quantifying cell phenotypes. </w:t>
      </w:r>
      <w:r>
        <w:rPr>
          <w:rFonts w:ascii="Times New Roman" w:hAnsi="Times New Roman" w:eastAsia="Times New Roman"/>
          <w:i/>
          <w:sz w:val="15"/>
        </w:rPr>
        <w:t>Genome Biology</w:t>
      </w:r>
      <w:r>
        <w:rPr>
          <w:rFonts w:ascii="Times New Roman" w:hAnsi="Times New Roman" w:eastAsia="Times New Roman"/>
          <w:sz w:val="15"/>
        </w:rPr>
        <w:t xml:space="preserve"> </w:t>
      </w:r>
      <w:r>
        <w:rPr>
          <w:rFonts w:ascii="Times New Roman" w:hAnsi="Times New Roman" w:eastAsia="Times New Roman"/>
          <w:b/>
          <w:sz w:val="15"/>
        </w:rPr>
        <w:t>7</w:t>
      </w:r>
      <w:r>
        <w:rPr>
          <w:rFonts w:ascii="Times New Roman" w:hAnsi="Times New Roman" w:eastAsia="Times New Roman"/>
          <w:sz w:val="15"/>
        </w:rPr>
        <w:t>, R100 (2006).</w:t>
      </w:r>
    </w:p>
    <w:p>
      <w:pPr>
        <w:spacing w:after="0" w:line="240" w:lineRule="auto"/>
        <w:ind w:left="259" w:hanging="259"/>
      </w:pPr>
      <w:r>
        <w:rPr>
          <w:rFonts w:ascii="Times New Roman" w:hAnsi="Times New Roman" w:eastAsia="Times New Roman"/>
          <w:sz w:val="15"/>
        </w:rPr>
        <w:t xml:space="preserve">7. Dougherty, R. &amp; Kunzelmann, K.-H. Computing local thickness of 3D structures with ImageJ. </w:t>
      </w:r>
      <w:r>
        <w:rPr>
          <w:rFonts w:ascii="Times New Roman" w:hAnsi="Times New Roman" w:eastAsia="Times New Roman"/>
          <w:i/>
          <w:sz w:val="15"/>
        </w:rPr>
        <w:t>Microscopy and Microanalysis</w:t>
      </w:r>
      <w:r>
        <w:rPr>
          <w:rFonts w:ascii="Times New Roman" w:hAnsi="Times New Roman" w:eastAsia="Times New Roman"/>
          <w:sz w:val="15"/>
        </w:rPr>
        <w:t xml:space="preserve"> </w:t>
      </w:r>
      <w:r>
        <w:rPr>
          <w:rFonts w:ascii="Times New Roman" w:hAnsi="Times New Roman" w:eastAsia="Times New Roman"/>
          <w:b/>
          <w:sz w:val="15"/>
        </w:rPr>
        <w:t>13</w:t>
      </w:r>
      <w:r>
        <w:rPr>
          <w:rFonts w:ascii="Times New Roman" w:hAnsi="Times New Roman" w:eastAsia="Times New Roman"/>
          <w:sz w:val="15"/>
        </w:rPr>
        <w:t>, 1678–1679 (2007).</w:t>
      </w:r>
    </w:p>
    <w:p>
      <w:pPr>
        <w:spacing w:after="0" w:line="240" w:lineRule="auto"/>
        <w:ind w:left="259" w:hanging="259"/>
      </w:pPr>
      <w:r>
        <w:rPr>
          <w:rFonts w:ascii="Times New Roman" w:hAnsi="Times New Roman" w:eastAsia="Times New Roman"/>
          <w:sz w:val="15"/>
        </w:rPr>
        <w:t xml:space="preserve">8. Plotnick, R. E., Gardner, R. H., Hargrove, W. W., Prestegaard, K. &amp; Perlmutter, M. Lacunarity analysis: a general technique for the analysis of spatial patterns. </w:t>
      </w:r>
      <w:r>
        <w:rPr>
          <w:rFonts w:ascii="Times New Roman" w:hAnsi="Times New Roman" w:eastAsia="Times New Roman"/>
          <w:i/>
          <w:sz w:val="15"/>
        </w:rPr>
        <w:t>Physical Review E</w:t>
      </w:r>
      <w:r>
        <w:rPr>
          <w:rFonts w:ascii="Times New Roman" w:hAnsi="Times New Roman" w:eastAsia="Times New Roman"/>
          <w:sz w:val="15"/>
        </w:rPr>
        <w:t xml:space="preserve"> </w:t>
      </w:r>
      <w:r>
        <w:rPr>
          <w:rFonts w:ascii="Times New Roman" w:hAnsi="Times New Roman" w:eastAsia="Times New Roman"/>
          <w:b/>
          <w:sz w:val="15"/>
        </w:rPr>
        <w:t>53</w:t>
      </w:r>
      <w:r>
        <w:rPr>
          <w:rFonts w:ascii="Times New Roman" w:hAnsi="Times New Roman" w:eastAsia="Times New Roman"/>
          <w:sz w:val="15"/>
        </w:rPr>
        <w:t>, 5461–5468 (1996). https://doi.org/10.1103/PhysRevE.53.5461</w:t>
      </w:r>
    </w:p>
    <w:p>
      <w:pPr>
        <w:spacing w:after="0" w:line="240" w:lineRule="auto"/>
        <w:ind w:left="259" w:hanging="259"/>
      </w:pPr>
      <w:r>
        <w:rPr>
          <w:rFonts w:ascii="Times New Roman" w:hAnsi="Times New Roman" w:eastAsia="Times New Roman"/>
          <w:sz w:val="15"/>
        </w:rPr>
        <w:t xml:space="preserve">9. Bubenik, P. Statistical topological data analysis using persistence landscapes. </w:t>
      </w:r>
      <w:r>
        <w:rPr>
          <w:rFonts w:ascii="Times New Roman" w:hAnsi="Times New Roman" w:eastAsia="Times New Roman"/>
          <w:i/>
          <w:sz w:val="15"/>
        </w:rPr>
        <w:t>Journal of Machine Learning Research</w:t>
      </w:r>
      <w:r>
        <w:rPr>
          <w:rFonts w:ascii="Times New Roman" w:hAnsi="Times New Roman" w:eastAsia="Times New Roman"/>
          <w:sz w:val="15"/>
        </w:rPr>
        <w:t xml:space="preserve"> </w:t>
      </w:r>
      <w:r>
        <w:rPr>
          <w:rFonts w:ascii="Times New Roman" w:hAnsi="Times New Roman" w:eastAsia="Times New Roman"/>
          <w:b/>
          <w:sz w:val="15"/>
        </w:rPr>
        <w:t>16</w:t>
      </w:r>
      <w:r>
        <w:rPr>
          <w:rFonts w:ascii="Times New Roman" w:hAnsi="Times New Roman" w:eastAsia="Times New Roman"/>
          <w:sz w:val="15"/>
        </w:rPr>
        <w:t>, 77–102 (2015).</w:t>
      </w:r>
    </w:p>
    <w:p>
      <w:pPr>
        <w:spacing w:after="0" w:line="240" w:lineRule="auto"/>
        <w:ind w:left="259" w:hanging="259"/>
      </w:pPr>
      <w:r>
        <w:rPr>
          <w:rFonts w:ascii="Times New Roman" w:hAnsi="Times New Roman" w:eastAsia="Times New Roman"/>
          <w:sz w:val="15"/>
        </w:rPr>
        <w:t xml:space="preserve">10. Roberts, B. C. et al. Application of digital volume correlation for the measurement of displacement and strain fields in bone: a literature review. </w:t>
      </w:r>
      <w:r>
        <w:rPr>
          <w:rFonts w:ascii="Times New Roman" w:hAnsi="Times New Roman" w:eastAsia="Times New Roman"/>
          <w:i/>
          <w:sz w:val="15"/>
        </w:rPr>
        <w:t>Journal of Biomechanics</w:t>
      </w:r>
      <w:r>
        <w:rPr>
          <w:rFonts w:ascii="Times New Roman" w:hAnsi="Times New Roman" w:eastAsia="Times New Roman"/>
          <w:sz w:val="15"/>
        </w:rPr>
        <w:t xml:space="preserve"> </w:t>
      </w:r>
      <w:r>
        <w:rPr>
          <w:rFonts w:ascii="Times New Roman" w:hAnsi="Times New Roman" w:eastAsia="Times New Roman"/>
          <w:b/>
          <w:sz w:val="15"/>
        </w:rPr>
        <w:t>47</w:t>
      </w:r>
      <w:r>
        <w:rPr>
          <w:rFonts w:ascii="Times New Roman" w:hAnsi="Times New Roman" w:eastAsia="Times New Roman"/>
          <w:sz w:val="15"/>
        </w:rPr>
        <w:t>, 923–934 (2014). https://doi.org/10.1016/j.jbiomech.2014.01.001</w:t>
      </w:r>
    </w:p>
    <w:p>
      <w:pPr>
        <w:spacing w:after="0" w:line="240" w:lineRule="auto"/>
        <w:ind w:left="259" w:hanging="259"/>
      </w:pPr>
      <w:r>
        <w:rPr>
          <w:rFonts w:ascii="Times New Roman" w:hAnsi="Times New Roman" w:eastAsia="Times New Roman"/>
          <w:sz w:val="15"/>
        </w:rPr>
        <w:t xml:space="preserve">11. Ljosa, V., Sokolnicki, K. L. &amp; Carpenter, A. E. Annotated high-throughput microscopy image sets for validation. </w:t>
      </w:r>
      <w:r>
        <w:rPr>
          <w:rFonts w:ascii="Times New Roman" w:hAnsi="Times New Roman" w:eastAsia="Times New Roman"/>
          <w:i/>
          <w:sz w:val="15"/>
        </w:rPr>
        <w:t>Nature Methods</w:t>
      </w:r>
      <w:r>
        <w:rPr>
          <w:rFonts w:ascii="Times New Roman" w:hAnsi="Times New Roman" w:eastAsia="Times New Roman"/>
          <w:sz w:val="15"/>
        </w:rPr>
        <w:t xml:space="preserve"> </w:t>
      </w:r>
      <w:r>
        <w:rPr>
          <w:rFonts w:ascii="Times New Roman" w:hAnsi="Times New Roman" w:eastAsia="Times New Roman"/>
          <w:b/>
          <w:sz w:val="15"/>
        </w:rPr>
        <w:t>9</w:t>
      </w:r>
      <w:r>
        <w:rPr>
          <w:rFonts w:ascii="Times New Roman" w:hAnsi="Times New Roman" w:eastAsia="Times New Roman"/>
          <w:sz w:val="15"/>
        </w:rPr>
        <w:t>, 637 (2012). https://doi.org/10.1038/nmeth.2083</w:t>
      </w:r>
    </w:p>
    <w:p>
      <w:pPr>
        <w:spacing w:after="0" w:line="240" w:lineRule="auto"/>
        <w:ind w:left="259" w:hanging="259"/>
      </w:pPr>
      <w:r>
        <w:rPr>
          <w:rFonts w:ascii="Times New Roman" w:hAnsi="Times New Roman" w:eastAsia="Times New Roman"/>
          <w:sz w:val="15"/>
        </w:rPr>
        <w:t xml:space="preserve">12. Andreux, M. et al. Kymatio: scattering transforms in Python. </w:t>
      </w:r>
      <w:r>
        <w:rPr>
          <w:rFonts w:ascii="Times New Roman" w:hAnsi="Times New Roman" w:eastAsia="Times New Roman"/>
          <w:i/>
          <w:sz w:val="15"/>
        </w:rPr>
        <w:t>Journal of Machine Learning Research</w:t>
      </w:r>
      <w:r>
        <w:rPr>
          <w:rFonts w:ascii="Times New Roman" w:hAnsi="Times New Roman" w:eastAsia="Times New Roman"/>
          <w:sz w:val="15"/>
        </w:rPr>
        <w:t xml:space="preserve"> </w:t>
      </w:r>
      <w:r>
        <w:rPr>
          <w:rFonts w:ascii="Times New Roman" w:hAnsi="Times New Roman" w:eastAsia="Times New Roman"/>
          <w:b/>
          <w:sz w:val="15"/>
        </w:rPr>
        <w:t>21</w:t>
      </w:r>
      <w:r>
        <w:rPr>
          <w:rFonts w:ascii="Times New Roman" w:hAnsi="Times New Roman" w:eastAsia="Times New Roman"/>
          <w:sz w:val="15"/>
        </w:rPr>
        <w:t>, 1–6 (2020).</w:t>
      </w:r>
    </w:p>
    <w:p>
      <w:pPr>
        <w:spacing w:after="0" w:line="240" w:lineRule="auto"/>
        <w:ind w:left="259" w:hanging="259"/>
      </w:pPr>
      <w:r>
        <w:rPr>
          <w:rFonts w:ascii="Times New Roman" w:hAnsi="Times New Roman" w:eastAsia="Times New Roman"/>
          <w:sz w:val="15"/>
        </w:rPr>
        <w:t xml:space="preserve">13. van Griethuysen, J. J. M. et al. Computational radiomics system to decode the radiographic phenotype. </w:t>
      </w:r>
      <w:r>
        <w:rPr>
          <w:rFonts w:ascii="Times New Roman" w:hAnsi="Times New Roman" w:eastAsia="Times New Roman"/>
          <w:i/>
          <w:sz w:val="15"/>
        </w:rPr>
        <w:t>Cancer Research</w:t>
      </w:r>
      <w:r>
        <w:rPr>
          <w:rFonts w:ascii="Times New Roman" w:hAnsi="Times New Roman" w:eastAsia="Times New Roman"/>
          <w:sz w:val="15"/>
        </w:rPr>
        <w:t xml:space="preserve"> </w:t>
      </w:r>
      <w:r>
        <w:rPr>
          <w:rFonts w:ascii="Times New Roman" w:hAnsi="Times New Roman" w:eastAsia="Times New Roman"/>
          <w:b/>
          <w:sz w:val="15"/>
        </w:rPr>
        <w:t>77</w:t>
      </w:r>
      <w:r>
        <w:rPr>
          <w:rFonts w:ascii="Times New Roman" w:hAnsi="Times New Roman" w:eastAsia="Times New Roman"/>
          <w:sz w:val="15"/>
        </w:rPr>
        <w:t>, e104–e107 (2017). https://doi.org/10.1158/0008-5472.CAN-17-0339</w:t>
      </w:r>
    </w:p>
    <w:p>
      <w:pPr>
        <w:spacing w:after="0" w:line="240" w:lineRule="auto"/>
        <w:ind w:left="259" w:hanging="259"/>
      </w:pPr>
      <w:r>
        <w:rPr>
          <w:rFonts w:ascii="Times New Roman" w:hAnsi="Times New Roman" w:eastAsia="Times New Roman"/>
          <w:sz w:val="15"/>
        </w:rPr>
        <w:t xml:space="preserve">14. Harris, C. R. et al. Array programming with NumPy. </w:t>
      </w:r>
      <w:r>
        <w:rPr>
          <w:rFonts w:ascii="Times New Roman" w:hAnsi="Times New Roman" w:eastAsia="Times New Roman"/>
          <w:i/>
          <w:sz w:val="15"/>
        </w:rPr>
        <w:t>Nature</w:t>
      </w:r>
      <w:r>
        <w:rPr>
          <w:rFonts w:ascii="Times New Roman" w:hAnsi="Times New Roman" w:eastAsia="Times New Roman"/>
          <w:sz w:val="15"/>
        </w:rPr>
        <w:t xml:space="preserve"> </w:t>
      </w:r>
      <w:r>
        <w:rPr>
          <w:rFonts w:ascii="Times New Roman" w:hAnsi="Times New Roman" w:eastAsia="Times New Roman"/>
          <w:b/>
          <w:sz w:val="15"/>
        </w:rPr>
        <w:t>585</w:t>
      </w:r>
      <w:r>
        <w:rPr>
          <w:rFonts w:ascii="Times New Roman" w:hAnsi="Times New Roman" w:eastAsia="Times New Roman"/>
          <w:sz w:val="15"/>
        </w:rPr>
        <w:t>, 357–362 (2020). https://doi.org/10.1038/s41586-020-2649-2</w:t>
      </w:r>
    </w:p>
    <w:p>
      <w:pPr>
        <w:spacing w:after="0" w:line="240" w:lineRule="auto"/>
        <w:ind w:left="259" w:hanging="259"/>
      </w:pPr>
      <w:r>
        <w:rPr>
          <w:rFonts w:ascii="Times New Roman" w:hAnsi="Times New Roman" w:eastAsia="Times New Roman"/>
          <w:sz w:val="15"/>
        </w:rPr>
        <w:t xml:space="preserve">15. Virtanen, P. et al. SciPy 1.0: fundamental algorithms for scientific computing in Python. </w:t>
      </w:r>
      <w:r>
        <w:rPr>
          <w:rFonts w:ascii="Times New Roman" w:hAnsi="Times New Roman" w:eastAsia="Times New Roman"/>
          <w:i/>
          <w:sz w:val="15"/>
        </w:rPr>
        <w:t>Nature Methods</w:t>
      </w:r>
      <w:r>
        <w:rPr>
          <w:rFonts w:ascii="Times New Roman" w:hAnsi="Times New Roman" w:eastAsia="Times New Roman"/>
          <w:sz w:val="15"/>
        </w:rPr>
        <w:t xml:space="preserve"> </w:t>
      </w:r>
      <w:r>
        <w:rPr>
          <w:rFonts w:ascii="Times New Roman" w:hAnsi="Times New Roman" w:eastAsia="Times New Roman"/>
          <w:b/>
          <w:sz w:val="15"/>
        </w:rPr>
        <w:t>17</w:t>
      </w:r>
      <w:r>
        <w:rPr>
          <w:rFonts w:ascii="Times New Roman" w:hAnsi="Times New Roman" w:eastAsia="Times New Roman"/>
          <w:sz w:val="15"/>
        </w:rPr>
        <w:t>, 261–272 (2020). https://doi.org/10.1038/s41592-019-0686-2</w:t>
      </w:r>
    </w:p>
    <w:p>
      <w:pPr>
        <w:spacing w:after="0" w:line="240" w:lineRule="auto"/>
        <w:ind w:left="259" w:hanging="259"/>
      </w:pPr>
      <w:r>
        <w:rPr>
          <w:rFonts w:ascii="Times New Roman" w:hAnsi="Times New Roman" w:eastAsia="Times New Roman"/>
          <w:sz w:val="15"/>
        </w:rPr>
        <w:t xml:space="preserve">16. van der Walt, S. et al. scikit-image: image processing in Python. </w:t>
      </w:r>
      <w:r>
        <w:rPr>
          <w:rFonts w:ascii="Times New Roman" w:hAnsi="Times New Roman" w:eastAsia="Times New Roman"/>
          <w:i/>
          <w:sz w:val="15"/>
        </w:rPr>
        <w:t>PeerJ</w:t>
      </w:r>
      <w:r>
        <w:rPr>
          <w:rFonts w:ascii="Times New Roman" w:hAnsi="Times New Roman" w:eastAsia="Times New Roman"/>
          <w:sz w:val="15"/>
        </w:rPr>
        <w:t xml:space="preserve"> </w:t>
      </w:r>
      <w:r>
        <w:rPr>
          <w:rFonts w:ascii="Times New Roman" w:hAnsi="Times New Roman" w:eastAsia="Times New Roman"/>
          <w:b/>
          <w:sz w:val="15"/>
        </w:rPr>
        <w:t>2</w:t>
      </w:r>
      <w:r>
        <w:rPr>
          <w:rFonts w:ascii="Times New Roman" w:hAnsi="Times New Roman" w:eastAsia="Times New Roman"/>
          <w:sz w:val="15"/>
        </w:rPr>
        <w:t>, e453 (2014). https://doi.org/10.7717/peerj.453</w:t>
      </w:r>
    </w:p>
    <w:p>
      <w:pPr>
        <w:spacing w:after="0" w:line="240" w:lineRule="auto"/>
        <w:ind w:left="259" w:hanging="259"/>
      </w:pPr>
      <w:r>
        <w:rPr>
          <w:rFonts w:ascii="Times New Roman" w:hAnsi="Times New Roman" w:eastAsia="Times New Roman"/>
          <w:sz w:val="15"/>
        </w:rPr>
        <w:t xml:space="preserve">17. Pedregosa, F. et al. Scikit-learn: machine learning in Python. </w:t>
      </w:r>
      <w:r>
        <w:rPr>
          <w:rFonts w:ascii="Times New Roman" w:hAnsi="Times New Roman" w:eastAsia="Times New Roman"/>
          <w:i/>
          <w:sz w:val="15"/>
        </w:rPr>
        <w:t>Journal of Machine Learning Research</w:t>
      </w:r>
      <w:r>
        <w:rPr>
          <w:rFonts w:ascii="Times New Roman" w:hAnsi="Times New Roman" w:eastAsia="Times New Roman"/>
          <w:sz w:val="15"/>
        </w:rPr>
        <w:t xml:space="preserve"> </w:t>
      </w:r>
      <w:r>
        <w:rPr>
          <w:rFonts w:ascii="Times New Roman" w:hAnsi="Times New Roman" w:eastAsia="Times New Roman"/>
          <w:b/>
          <w:sz w:val="15"/>
        </w:rPr>
        <w:t>12</w:t>
      </w:r>
      <w:r>
        <w:rPr>
          <w:rFonts w:ascii="Times New Roman" w:hAnsi="Times New Roman" w:eastAsia="Times New Roman"/>
          <w:sz w:val="15"/>
        </w:rPr>
        <w:t>, 2825–2830 (2011).</w:t>
      </w:r>
    </w:p>
    <w:p>
      <w:pPr>
        <w:spacing w:after="0" w:line="240" w:lineRule="auto"/>
        <w:ind w:left="259" w:hanging="259"/>
      </w:pPr>
      <w:r>
        <w:rPr>
          <w:rFonts w:ascii="Times New Roman" w:hAnsi="Times New Roman" w:eastAsia="Times New Roman"/>
          <w:sz w:val="15"/>
        </w:rPr>
        <w:t xml:space="preserve">18. Doube, M. et al. BoneJ: free and extensible bone image analysis in ImageJ. </w:t>
      </w:r>
      <w:r>
        <w:rPr>
          <w:rFonts w:ascii="Times New Roman" w:hAnsi="Times New Roman" w:eastAsia="Times New Roman"/>
          <w:i/>
          <w:sz w:val="15"/>
        </w:rPr>
        <w:t>Bone</w:t>
      </w:r>
      <w:r>
        <w:rPr>
          <w:rFonts w:ascii="Times New Roman" w:hAnsi="Times New Roman" w:eastAsia="Times New Roman"/>
          <w:sz w:val="15"/>
        </w:rPr>
        <w:t xml:space="preserve"> </w:t>
      </w:r>
      <w:r>
        <w:rPr>
          <w:rFonts w:ascii="Times New Roman" w:hAnsi="Times New Roman" w:eastAsia="Times New Roman"/>
          <w:b/>
          <w:sz w:val="15"/>
        </w:rPr>
        <w:t>47</w:t>
      </w:r>
      <w:r>
        <w:rPr>
          <w:rFonts w:ascii="Times New Roman" w:hAnsi="Times New Roman" w:eastAsia="Times New Roman"/>
          <w:sz w:val="15"/>
        </w:rPr>
        <w:t>, 1076–1079 (2010). https://doi.org/10.1016/j.bone.2010.08.023</w:t>
      </w:r>
    </w:p>
    <w:p>
      <w:pPr>
        <w:spacing w:after="0" w:line="240" w:lineRule="auto"/>
        <w:ind w:left="259" w:hanging="259"/>
      </w:pPr>
      <w:r>
        <w:rPr>
          <w:rFonts w:ascii="Times New Roman" w:hAnsi="Times New Roman" w:eastAsia="Times New Roman"/>
          <w:sz w:val="15"/>
        </w:rPr>
        <w:t xml:space="preserve">19. Schneider, C. A., Rasband, W. S. &amp; Eliceiri, K. W. NIH Image to ImageJ: 25 years of image analysis. </w:t>
      </w:r>
      <w:r>
        <w:rPr>
          <w:rFonts w:ascii="Times New Roman" w:hAnsi="Times New Roman" w:eastAsia="Times New Roman"/>
          <w:i/>
          <w:sz w:val="15"/>
        </w:rPr>
        <w:t>Nature Methods</w:t>
      </w:r>
      <w:r>
        <w:rPr>
          <w:rFonts w:ascii="Times New Roman" w:hAnsi="Times New Roman" w:eastAsia="Times New Roman"/>
          <w:sz w:val="15"/>
        </w:rPr>
        <w:t xml:space="preserve"> </w:t>
      </w:r>
      <w:r>
        <w:rPr>
          <w:rFonts w:ascii="Times New Roman" w:hAnsi="Times New Roman" w:eastAsia="Times New Roman"/>
          <w:b/>
          <w:sz w:val="15"/>
        </w:rPr>
        <w:t>9</w:t>
      </w:r>
      <w:r>
        <w:rPr>
          <w:rFonts w:ascii="Times New Roman" w:hAnsi="Times New Roman" w:eastAsia="Times New Roman"/>
          <w:sz w:val="15"/>
        </w:rPr>
        <w:t>, 671–675 (2012). https://doi.org/10.1038/nmeth.2089</w:t>
      </w:r>
    </w:p>
    <w:p>
      <w:pPr>
        <w:spacing w:after="0" w:line="240" w:lineRule="auto"/>
        <w:ind w:left="259" w:hanging="259"/>
      </w:pPr>
      <w:r>
        <w:rPr>
          <w:rFonts w:ascii="Times New Roman" w:hAnsi="Times New Roman" w:eastAsia="Times New Roman"/>
          <w:sz w:val="15"/>
        </w:rPr>
        <w:t xml:space="preserve">20. Haralick, R. M., Shanmugam, K. &amp; Dinstein, I. Textural features for image classification. </w:t>
      </w:r>
      <w:r>
        <w:rPr>
          <w:rFonts w:ascii="Times New Roman" w:hAnsi="Times New Roman" w:eastAsia="Times New Roman"/>
          <w:i/>
          <w:sz w:val="15"/>
        </w:rPr>
        <w:t>IEEE Transactions on Systems, Man, and Cybernetics</w:t>
      </w:r>
      <w:r>
        <w:rPr>
          <w:rFonts w:ascii="Times New Roman" w:hAnsi="Times New Roman" w:eastAsia="Times New Roman"/>
          <w:sz w:val="15"/>
        </w:rPr>
        <w:t xml:space="preserve"> </w:t>
      </w:r>
      <w:r>
        <w:rPr>
          <w:rFonts w:ascii="Times New Roman" w:hAnsi="Times New Roman" w:eastAsia="Times New Roman"/>
          <w:b/>
          <w:sz w:val="15"/>
        </w:rPr>
        <w:t>SMC-3</w:t>
      </w:r>
      <w:r>
        <w:rPr>
          <w:rFonts w:ascii="Times New Roman" w:hAnsi="Times New Roman" w:eastAsia="Times New Roman"/>
          <w:sz w:val="15"/>
        </w:rPr>
        <w:t>, 610–621 (1973). https://doi.org/10.1109/TSMC.1973.4309314</w:t>
      </w:r>
    </w:p>
    <w:p>
      <w:pPr>
        <w:spacing w:after="0" w:line="240" w:lineRule="auto"/>
        <w:ind w:left="259" w:hanging="259"/>
      </w:pPr>
      <w:r>
        <w:rPr>
          <w:rFonts w:ascii="Times New Roman" w:hAnsi="Times New Roman" w:eastAsia="Times New Roman"/>
          <w:sz w:val="15"/>
        </w:rPr>
        <w:t xml:space="preserve">21. Otsu, N. A threshold selection method from gray-level histograms. </w:t>
      </w:r>
      <w:r>
        <w:rPr>
          <w:rFonts w:ascii="Times New Roman" w:hAnsi="Times New Roman" w:eastAsia="Times New Roman"/>
          <w:i/>
          <w:sz w:val="15"/>
        </w:rPr>
        <w:t>IEEE Transactions on Systems, Man, and Cybernetics</w:t>
      </w:r>
      <w:r>
        <w:rPr>
          <w:rFonts w:ascii="Times New Roman" w:hAnsi="Times New Roman" w:eastAsia="Times New Roman"/>
          <w:sz w:val="15"/>
        </w:rPr>
        <w:t xml:space="preserve"> </w:t>
      </w:r>
      <w:r>
        <w:rPr>
          <w:rFonts w:ascii="Times New Roman" w:hAnsi="Times New Roman" w:eastAsia="Times New Roman"/>
          <w:b/>
          <w:sz w:val="15"/>
        </w:rPr>
        <w:t>9</w:t>
      </w:r>
      <w:r>
        <w:rPr>
          <w:rFonts w:ascii="Times New Roman" w:hAnsi="Times New Roman" w:eastAsia="Times New Roman"/>
          <w:sz w:val="15"/>
        </w:rPr>
        <w:t>, 62–66 (1979). https://doi.org/10.1109/TSMC.1979.4310076</w:t>
      </w:r>
    </w:p>
    <w:p>
      <w:pPr>
        <w:spacing w:after="0" w:line="240" w:lineRule="auto"/>
        <w:ind w:left="259" w:hanging="259"/>
      </w:pPr>
      <w:r>
        <w:rPr>
          <w:rFonts w:ascii="Times New Roman" w:hAnsi="Times New Roman" w:eastAsia="Times New Roman"/>
          <w:sz w:val="15"/>
        </w:rPr>
        <w:t xml:space="preserve">22. Maier-Hein, L. et al. Metrics reloaded: recommendations for image analysis validation. </w:t>
      </w:r>
      <w:r>
        <w:rPr>
          <w:rFonts w:ascii="Times New Roman" w:hAnsi="Times New Roman" w:eastAsia="Times New Roman"/>
          <w:i/>
          <w:sz w:val="15"/>
        </w:rPr>
        <w:t>Nature Methods</w:t>
      </w:r>
      <w:r>
        <w:rPr>
          <w:rFonts w:ascii="Times New Roman" w:hAnsi="Times New Roman" w:eastAsia="Times New Roman"/>
          <w:sz w:val="15"/>
        </w:rPr>
        <w:t xml:space="preserve"> </w:t>
      </w:r>
      <w:r>
        <w:rPr>
          <w:rFonts w:ascii="Times New Roman" w:hAnsi="Times New Roman" w:eastAsia="Times New Roman"/>
          <w:b/>
          <w:sz w:val="15"/>
        </w:rPr>
        <w:t>21</w:t>
      </w:r>
      <w:r>
        <w:rPr>
          <w:rFonts w:ascii="Times New Roman" w:hAnsi="Times New Roman" w:eastAsia="Times New Roman"/>
          <w:sz w:val="15"/>
        </w:rPr>
        <w:t>, 195–212 (2024). https://doi.org/10.1038/s41592-023-02151-z</w:t>
      </w:r>
    </w:p>
    <w:p>
      <w:pPr>
        <w:spacing w:after="0" w:line="240" w:lineRule="auto"/>
        <w:ind w:left="259" w:hanging="259"/>
      </w:pPr>
      <w:r>
        <w:rPr>
          <w:rFonts w:ascii="Times New Roman" w:hAnsi="Times New Roman" w:eastAsia="Times New Roman"/>
          <w:sz w:val="15"/>
        </w:rPr>
        <w:t xml:space="preserve">23. Efron, B. &amp; Tibshirani, R. J. </w:t>
      </w:r>
      <w:r>
        <w:rPr>
          <w:rFonts w:ascii="Times New Roman" w:hAnsi="Times New Roman" w:eastAsia="Times New Roman"/>
          <w:i/>
          <w:sz w:val="15"/>
        </w:rPr>
        <w:t>An Introduction to the Bootstrap</w:t>
      </w:r>
      <w:r>
        <w:rPr>
          <w:rFonts w:ascii="Times New Roman" w:hAnsi="Times New Roman" w:eastAsia="Times New Roman"/>
          <w:sz w:val="15"/>
        </w:rPr>
        <w:t>. (Chapman &amp; Hall/CRC, 1993).</w:t>
      </w:r>
    </w:p>
    <w:p>
      <w:pPr>
        <w:spacing w:after="0" w:line="240" w:lineRule="auto"/>
        <w:ind w:left="259" w:hanging="259"/>
      </w:pPr>
      <w:r>
        <w:rPr>
          <w:rFonts w:ascii="Times New Roman" w:hAnsi="Times New Roman" w:eastAsia="Times New Roman"/>
          <w:sz w:val="15"/>
        </w:rPr>
        <w:t xml:space="preserve">24. Mantripragada, V. P., Piuzzi, N. S., Muschler, G. F., Erdemir, A. &amp; Midura, R. J. A comprehensive dataset of histopathology images, grades and patient demographics for human osteoarthritis cartilage. </w:t>
      </w:r>
      <w:r>
        <w:rPr>
          <w:rFonts w:ascii="Times New Roman" w:hAnsi="Times New Roman" w:eastAsia="Times New Roman"/>
          <w:i/>
          <w:sz w:val="15"/>
        </w:rPr>
        <w:t>Data in Brief</w:t>
      </w:r>
      <w:r>
        <w:rPr>
          <w:rFonts w:ascii="Times New Roman" w:hAnsi="Times New Roman" w:eastAsia="Times New Roman"/>
          <w:sz w:val="15"/>
        </w:rPr>
        <w:t xml:space="preserve"> </w:t>
      </w:r>
      <w:r>
        <w:rPr>
          <w:rFonts w:ascii="Times New Roman" w:hAnsi="Times New Roman" w:eastAsia="Times New Roman"/>
          <w:b/>
          <w:sz w:val="15"/>
        </w:rPr>
        <w:t>37</w:t>
      </w:r>
      <w:r>
        <w:rPr>
          <w:rFonts w:ascii="Times New Roman" w:hAnsi="Times New Roman" w:eastAsia="Times New Roman"/>
          <w:sz w:val="15"/>
        </w:rPr>
        <w:t>, 107129 (2021). https://doi.org/10.1016/j.dib.2021.107129</w:t>
      </w:r>
    </w:p>
    <w:p>
      <w:pPr>
        <w:spacing w:after="0" w:line="240" w:lineRule="auto"/>
        <w:ind w:left="259" w:hanging="259"/>
      </w:pPr>
      <w:r>
        <w:rPr>
          <w:rFonts w:ascii="Times New Roman" w:hAnsi="Times New Roman" w:eastAsia="Times New Roman"/>
          <w:sz w:val="15"/>
        </w:rPr>
        <w:t xml:space="preserve">25. Pritzker, K. P. H. et al. Osteoarthritis cartilage histopathology: grading and staging. </w:t>
      </w:r>
      <w:r>
        <w:rPr>
          <w:rFonts w:ascii="Times New Roman" w:hAnsi="Times New Roman" w:eastAsia="Times New Roman"/>
          <w:i/>
          <w:sz w:val="15"/>
        </w:rPr>
        <w:t>Osteoarthritis and Cartilage</w:t>
      </w:r>
      <w:r>
        <w:rPr>
          <w:rFonts w:ascii="Times New Roman" w:hAnsi="Times New Roman" w:eastAsia="Times New Roman"/>
          <w:sz w:val="15"/>
        </w:rPr>
        <w:t xml:space="preserve"> </w:t>
      </w:r>
      <w:r>
        <w:rPr>
          <w:rFonts w:ascii="Times New Roman" w:hAnsi="Times New Roman" w:eastAsia="Times New Roman"/>
          <w:b/>
          <w:sz w:val="15"/>
        </w:rPr>
        <w:t>14</w:t>
      </w:r>
      <w:r>
        <w:rPr>
          <w:rFonts w:ascii="Times New Roman" w:hAnsi="Times New Roman" w:eastAsia="Times New Roman"/>
          <w:sz w:val="15"/>
        </w:rPr>
        <w:t>, 13–29 (2006). https://doi.org/10.1016/j.joca.2005.07.014</w:t>
      </w:r>
    </w:p>
    <w:p>
      <w:pPr>
        <w:spacing w:after="0" w:line="240" w:lineRule="auto"/>
        <w:ind w:left="259" w:hanging="259"/>
      </w:pPr>
      <w:r>
        <w:rPr>
          <w:rFonts w:ascii="Times New Roman" w:hAnsi="Times New Roman" w:eastAsia="Times New Roman"/>
          <w:sz w:val="15"/>
        </w:rPr>
        <w:t xml:space="preserve">26. Changoor, A. et al. A polarized light microscopy method for accurate and reliable grading of collagen organization in cartilage repair. </w:t>
      </w:r>
      <w:r>
        <w:rPr>
          <w:rFonts w:ascii="Times New Roman" w:hAnsi="Times New Roman" w:eastAsia="Times New Roman"/>
          <w:i/>
          <w:sz w:val="15"/>
        </w:rPr>
        <w:t>Osteoarthritis and Cartilage</w:t>
      </w:r>
      <w:r>
        <w:rPr>
          <w:rFonts w:ascii="Times New Roman" w:hAnsi="Times New Roman" w:eastAsia="Times New Roman"/>
          <w:sz w:val="15"/>
        </w:rPr>
        <w:t xml:space="preserve"> </w:t>
      </w:r>
      <w:r>
        <w:rPr>
          <w:rFonts w:ascii="Times New Roman" w:hAnsi="Times New Roman" w:eastAsia="Times New Roman"/>
          <w:b/>
          <w:sz w:val="15"/>
        </w:rPr>
        <w:t>19</w:t>
      </w:r>
      <w:r>
        <w:rPr>
          <w:rFonts w:ascii="Times New Roman" w:hAnsi="Times New Roman" w:eastAsia="Times New Roman"/>
          <w:sz w:val="15"/>
        </w:rPr>
        <w:t>, 126–135 (2011). https://doi.org/10.1016/j.joca.2010.10.010</w:t>
      </w:r>
    </w:p>
    <w:p>
      <w:pPr>
        <w:spacing w:after="0" w:line="240" w:lineRule="auto"/>
        <w:ind w:left="259" w:hanging="259"/>
      </w:pPr>
      <w:r>
        <w:rPr>
          <w:rFonts w:ascii="Times New Roman" w:hAnsi="Times New Roman" w:eastAsia="Times New Roman"/>
          <w:sz w:val="15"/>
        </w:rPr>
        <w:t xml:space="preserve">27. Mantripragada, V. P. et al. Comparative assessment of primary osteoarthritis progression using conventional histopathology, polarized light microscopy and immunohistochemistry. </w:t>
      </w:r>
      <w:r>
        <w:rPr>
          <w:rFonts w:ascii="Times New Roman" w:hAnsi="Times New Roman" w:eastAsia="Times New Roman"/>
          <w:i/>
          <w:sz w:val="15"/>
        </w:rPr>
        <w:t>Cartilage</w:t>
      </w:r>
      <w:r>
        <w:rPr>
          <w:rFonts w:ascii="Times New Roman" w:hAnsi="Times New Roman" w:eastAsia="Times New Roman"/>
          <w:sz w:val="15"/>
        </w:rPr>
        <w:t xml:space="preserve"> </w:t>
      </w:r>
      <w:r>
        <w:rPr>
          <w:rFonts w:ascii="Times New Roman" w:hAnsi="Times New Roman" w:eastAsia="Times New Roman"/>
          <w:b/>
          <w:sz w:val="15"/>
        </w:rPr>
        <w:t>13</w:t>
      </w:r>
      <w:r>
        <w:rPr>
          <w:rFonts w:ascii="Times New Roman" w:hAnsi="Times New Roman" w:eastAsia="Times New Roman"/>
          <w:sz w:val="15"/>
        </w:rPr>
        <w:t>, 1494S–1510S (2021). https://doi.org/10.1177/1947603520938455</w:t>
      </w:r>
    </w:p>
    <w:sectPr w:rsidR="00FC693F" w:rsidRPr="0006063C" w:rsidSect="00034616">
      <w:headerReference w:type="default" r:id="rId9"/>
      <w:footerReference w:type="default" r:id="rId10"/>
      <w:pgSz w:w="12240" w:h="15840"/>
      <w:pgMar w:top="1037"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F5F5F"/>
        <w:sz w:val="16"/>
      </w:rP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color w:val="5F5F5F"/>
        <w:sz w:val="16"/>
      </w:rPr>
      <w:t>NOSTOS-0 | evidence-locked development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Times New Roman" w:hAnsi="Times New Roman"/>
      <w:b w:val="0"/>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NOSTOS represents multiscale structure across biological images in physical coordinates</dc:title>
  <dc:subject>Evidence-locked NOSTOS-0 methods article</dc:subject>
  <dc:creator>NOSTOS contributors</dc:creator>
  <cp:keywords>computational microscopy; image analysis; morphology; validation</cp:keywords>
  <dc:description>generated by python-docx</dc:description>
  <cp:lastModifiedBy/>
  <cp:revision>1</cp:revision>
  <dcterms:created xsi:type="dcterms:W3CDTF">2013-12-23T23:15:00Z</dcterms:created>
  <dcterms:modified xsi:type="dcterms:W3CDTF">2013-12-23T23:15:00Z</dcterms:modified>
  <cp:category/>
</cp:coreProperties>
</file>