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platform-level confirmation, external replication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larger prospective distribution-shift tests nevertheless rejected both direct concatenation and rotation quotienting as universally robust comparison representations. A frozen global FFT reliability rule failed transfer to annotated collagen SHG, whereas a scale-declared local field first passed an endpoint-new centerline test and then all nine gates in an untouched polarization-SHG breast cohort after instrument-to-raster calibration (48 ROIs; 1,367,747 pixels; median axial error 7.59°, ROI-bootstrap 95% interval 7.26–7.91°; axial alignment 0.877).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supports calibrated local orientation and thickness, but rejects a universal classifier, transferable global abstention rule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We next tested the narrower and more clinically relevant question of selective measurement: can NOSTOS recognize when it should not report an FFT orientation or wavelength? A self-perturbation score was developed on 500 calibrated phantoms and frozen before generating 600 new cases with compound optical, sampling and corruption effects. The rule accepted 563 of 600 cases (93.8% coverage). Six accepted estimates were invalid, giving selective risk 1.07% and a 95% Wilson interval of 0.49–2.31%; invalid-measurement detection AUC was 0.980. The legacy SNR-and-sampling rule covered 94.8% at 4.39% risk. Median accepted angular and wavelength errors were 0.24° and 1.70%. Five of six gates passed. The formal result remained fail because the frozen gate demanded a risk reduction greater than ten percentage points, whereas accepting every confirmation case incurred only 4.67% risk. We retain that logically unattainable gate rather than rewriting it after observing the cohort.</w:t>
      </w:r>
    </w:p>
    <w:p>
      <w:r>
        <w:rPr>
          <w:rFonts w:ascii="Times New Roman" w:hAnsi="Times New Roman" w:eastAsia="Times New Roman"/>
        </w:rPr>
        <w:t>We then transferred the rule, unchanged, to 30 external MyceliumSeg images with manual filament masks. The prospectively frozen experiment failed: only two masks met the prespecified requirement for a defined global reference axis because these biological networks were predominantly branching or multidirectional. Both eligible image measurements were accepted and agreed with the mask axis within a median 3.64°, but this denominator cannot support inference and four of six gates failed. This negative control establishes that a global FFT orientation should not be validated on a topology that has no stable global direction; a directionally organized collagen dataset is required for the external transfer claim.</w:t>
      </w:r>
    </w:p>
    <w:p>
      <w:r>
        <w:rPr>
          <w:rFonts w:ascii="Times New Roman" w:hAnsi="Times New Roman" w:eastAsia="Times New Roman"/>
        </w:rPr>
        <w:t>We therefore preregistered a fit-for-purpose transfer using the 199-image test split of an external SHG collection with manual collagen centerlines. Of 199 test patches from 115 source groups, 183 patches from 111 groups supplied an eligible reference axis. The unchanged synthetic rule accepted 174 (95.1%), but 58 accepted estimates disagreed by more than 10°, yielding 33.3% selective risk (source-group bootstrap 95% interval, 26.1–40.5%). Risk without abstention was 35.5%; the legacy rule accepted every eligible patch at the same 35.5% risk. Median disagreement among accepted patches was 6.44° and invalid-detection AUC was 0.677. Three of six gates passed. The synthetic reliability score therefore did not transfer to annotated SHG collagen.</w:t>
      </w:r>
    </w:p>
    <w:p>
      <w:r>
        <w:rPr>
          <w:rFonts w:ascii="Times New Roman" w:hAnsi="Times New Roman" w:eastAsia="Times New Roman"/>
        </w:rPr>
        <w:t>An estimator-consensus redesign combined the synthetic diagnostics with multiscale structure-tensor agreement. The separate 1,188-patch training archive was partitioned by source group before outcome inspection. Development included 619 eligible patches from 163 groups; invalid prevalence was 32.3% and AUC was 0.740. No probability threshold achieved the frozen requirement of at most 10% risk at at least 30% coverage. The model and null operating point were nevertheless carried into 384 eligible confirmation patches from 104 groups. Confirmation AUC was 0.705 and coverage was zero, so five of six gates failed. We interpret this abstention as an honest negative result: simple global-estimator consensus does not solve collagen orientation validity.</w:t>
      </w:r>
    </w:p>
    <w:p>
      <w:pPr>
        <w:keepNext/>
        <w:spacing w:before="120" w:after="20"/>
        <w:jc w:val="center"/>
      </w:pPr>
      <w:r>
        <w:drawing>
          <wp:inline xmlns:a="http://schemas.openxmlformats.org/drawingml/2006/main" xmlns:pic="http://schemas.openxmlformats.org/drawingml/2006/picture">
            <wp:extent cx="6309360" cy="5537098"/>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5537098"/>
                    </a:xfrm>
                    <a:prstGeom prst="rect"/>
                  </pic:spPr>
                </pic:pic>
              </a:graphicData>
            </a:graphic>
          </wp:inline>
        </w:drawing>
      </w:r>
    </w:p>
    <w:p>
      <w:pPr>
        <w:pStyle w:val="Caption"/>
        <w:keepLines/>
      </w:pPr>
      <w:r>
        <w:rPr>
          <w:rFonts w:ascii="Times New Roman" w:hAnsi="Times New Roman" w:eastAsia="Times New Roman"/>
        </w:rPr>
        <w:t>Figure 2 | Analytic recovery, prospective failures and selective measurement. Synthetic constructs encode exact directional, morphological, geometric, network and spatial ground truth. Error trajectories and the module matrix show controlled perturbation behavior. The performance matrix retains the optimistic 16-case benchmark and the larger failed v2 and v3 distribution-shift tests. The coverage–risk curve shows the frozen selective FFT operating point and legacy QC comparator. The final panel contrasts low analytic risk with failed SHG transfer and zero-coverage estimator consensus.</w:t>
      </w:r>
    </w:p>
    <w:p>
      <w:r>
        <w:rPr>
          <w:rFonts w:ascii="Times New Roman" w:hAnsi="Times New Roman" w:eastAsia="Times New Roman"/>
        </w:rPr>
        <w:t>We next replaced the ill-posed global endpoint with local direction along manual collagen centerlines. An adaptive multiscale selector again failed development because no confidence threshold attained the frozen risk–coverage requirement. We therefore declared sigma 2 pixels as the measurement scale before computing local outcomes in the archive's official 199-patch test split. Across 19,657 eligible tangent positions from 115 source groups, median axial error was 6.72° (source-group bootstrap 95% interval, 6.24–7.25°), the 75th percentile was 13.82°, median source-group median error was 6.33° and axial alignment was 0.832. Sigma 4 produced median error 7.66°; a smoothed finite-difference gradient produced 41.24°. All eight gates passed. Because the same test split had previously been opened for a distinct global endpoint, this is endpoint-new evidence rather than pristine dataset-level confirmation.</w:t>
      </w:r>
    </w:p>
    <w:p>
      <w:r>
        <w:rPr>
          <w:rFonts w:ascii="Times New Roman" w:hAnsi="Times New Roman" w:eastAsia="Times New Roman"/>
        </w:rPr>
        <w:t>We then froze a pristine transfer to PSHG-TISS, in which local collagen direction is derived independently from polarization-resolved SHG rather than from the grayscale texture supplied to NOSTOS. The first unstained-skin protocol formally failed: median error was 82.25° across 53 ROIs and 1,263,724 eligible pixels, exposing an approximately orthogonal convention between the archived polarization-phase axis and the raster ridge axis. We retained that failure as coordinate-calibration development evidence. After inspection of the depositors' published fitting code, a single 90° instrument-to-raster transform was frozen before any unstained-breast image was downloaded. The untouched breast confirmation passed all nine gates across 48 ROIs and 1,367,747 pixels. Median axial error was 7.59° (ROI-bootstrap 95% interval, 7.26–7.91°), the 75th percentile was 13.94°, median ROI median error was 7.33° and axial alignment was 0.877. Sigma 4 yielded 7.43° and the smoothed-gradient comparator 26.03°. This confirms one calibrated local-direction field on a pristine tissue cohort, not an instrument-independent orientation convention.</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SHG collagen, cartilage histology and Hoechst fluorescence. Collagen panels pair the source image with manual tangent directions and the scale-declared NOSTOS local field.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current source tree passes 138 tests, with two optional-comparator tests skipped. The public repository runs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platform-level representation confirmation,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although calibrated local orientation now has pristine confirmation, the platform-level comparison geometry has not passed a prospective biological distribution shift: raw concatenation failed v2, rotation quotienting failed v3 and two Hessian transfers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strong module-level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r>
        <w:rPr>
          <w:rFonts w:ascii="Times New Roman" w:hAnsi="Times New Roman" w:eastAsia="Times New Roman"/>
        </w:rPr>
        <w:t>Selective FFT validation used analytic gratings with registered axial direction, wavelength and physical spacing. Internal probes comprised fixed ±4° rotations, mild blur and center cropping. The maximum normalized disagreement across angle, wavelength, anisotropy, entropy, SNR and sampling components formed the score. The development-selected threshold was checksum locked before confirmation. A valid estimate required angular error no greater than 5° and relative wavelength error no greater than 0.15. Wilson intervals quantified invalid risk among accepted cases; case bootstrap quantified risk reduction.</w:t>
      </w:r>
    </w:p>
    <w:p>
      <w:r>
        <w:rPr>
          <w:rFonts w:ascii="Times New Roman" w:hAnsi="Times New Roman" w:eastAsia="Times New Roman"/>
        </w:rPr>
        <w:t>External orientation transfer used two public manually annotated filament archives. MyceliumSeg images and masks were center-cropped and jointly resized to 128 × 128 pixels; the binary mask supplied an independent FFT reference axis. The frozen protocol required mask coverage of at least 0.5% and reference anisotropy of at least 0.15. The SHG collagen experiment used only the archive's 199-patch official test split. Each image and manual centerline label was resized from 256 × 256 to 128 × 128 pixels. Labels supplied the reference axis but were not inputs to the image score. Reference eligibility required at least 0.1% centerline coverage and label anisotropy of at least 0.15; disagreement greater than 10° was invalid. Source groups were defined by removing the terminal tile field from the supplied identifier. Wilson intervals and 10,000-draw source-group bootstrap intervals quantified selective risk.</w:t>
      </w:r>
    </w:p>
    <w:p>
      <w:r>
        <w:rPr>
          <w:rFonts w:ascii="Times New Roman" w:hAnsi="Times New Roman" w:eastAsia="Times New Roman"/>
        </w:rPr>
        <w:t>For estimator-consensus development, only the separate 1,188-patch SHG training split was used. Source groups were deterministically assigned 60:40 to development and internal confirmation by SHA-256 hash before outcome calculation. Coordinates comprised the synthetic self-perturbation diagnostics, FFT anisotropy, entropy, SNR and wavelength, structure-tensor orientations and coherences at 1, 2, 4 and 8 pixels, FFT–tensor disagreement and tensor interscale spread. A standardized L2-penalized logistic regression with balanced class weights predicted invalidity. The highest-coverage development threshold with risk no greater than 10% and coverage at least 30% was to be locked for confirmation. Because no threshold qualified, confirmation correctly inherited a null operating point. This same-archive group split was not treated as independent acquisition.</w:t>
      </w:r>
    </w:p>
    <w:p>
      <w:r>
        <w:rPr>
          <w:rFonts w:ascii="Times New Roman" w:hAnsi="Times New Roman" w:eastAsia="Times New Roman"/>
        </w:rPr>
        <w:t>Local reference tangents were derived from one-pixel-thinned manual centerlines. At pixels at least six pixels from an image edge, centerline coordinates within a five-pixel radius were retained when at least five coordinates were present and coordinate-covariance anisotropy was at least 0.70. The principal covariance eigenvector defined the axial tangent. Image structure tensors were computed at sigma 1, 2, 4 and 8 pixels. The adaptive selector maximized coherence multiplied by normalized energy and penalized interscale angular spread; it failed development. The external-test endpoint therefore reported the prespecified sigma-2 field without confidence filtering. Source-group bootstrap resampled complete source groups and retained all their eligible tangent pixels. Axial alignment was the mean cosine of twice the angular error.</w:t>
      </w:r>
    </w:p>
    <w:p>
      <w:r>
        <w:rPr>
          <w:rFonts w:ascii="Times New Roman" w:hAnsi="Times New Roman" w:eastAsia="Times New Roman"/>
        </w:rPr>
        <w:t>PSHG-TISS transfer used every unstained-skin FSHG ROI for development and every untouched unstained-breast FSHG ROI for confirmation. For each ROI, all ten polarization frames were averaged to form the NOSTOS intensity input. The archived FI orientation, R2 and SNR maps were read only for reference construction and eligibility. Eligible pixels had R2 at least 0.90, SNR at least 3 dB, positive mean intensity and at least eight pixels of edge clearance. Skin exposed an approximately 90° difference between the archived polarization-phase coordinate and raster ridge direction. Inspection of the depositors' published fitting implementation supported an instrument-coordinate explanation; a single 90° transform was then checksum frozen before breast download. The unchanged sigma-2 field was compared with sigma 4 and a sigma-2 smoothed-gradient line direction. A 10,000-draw bootstrap resampled whole ROIs and retained all their eligible pixels.</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v0.3.0-rc12</w:t>
      </w:r>
      <w:r>
        <w:rPr>
          <w:rFonts w:ascii="Times New Roman" w:hAnsi="Times New Roman" w:eastAsia="Times New Roman"/>
        </w:rPr>
        <w:t xml:space="preserve"> tag identifies the clean-room-tested research candidate containing the mapped IBSI texture-conformance audit, retained selective-measurement failures and pristine PSHG local-orientation confirmation.</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5"/>
        </w:rPr>
        <w:t xml:space="preserve">1. Frangi, A. F. et al. Multiscale vessel enhancement filtering. </w:t>
      </w:r>
      <w:r>
        <w:rPr>
          <w:rFonts w:ascii="Times New Roman" w:hAnsi="Times New Roman" w:eastAsia="Times New Roman"/>
          <w:i/>
          <w:sz w:val="15"/>
        </w:rPr>
        <w:t>Medical Image Computing and Computer-Assisted Intervention</w:t>
      </w:r>
      <w:r>
        <w:rPr>
          <w:rFonts w:ascii="Times New Roman" w:hAnsi="Times New Roman" w:eastAsia="Times New Roman"/>
          <w:sz w:val="15"/>
        </w:rPr>
        <w:t xml:space="preserve"> (1998). https://doi.org/10.1007/BFb0056195</w:t>
      </w:r>
    </w:p>
    <w:p>
      <w:pPr>
        <w:spacing w:after="0" w:line="240" w:lineRule="auto"/>
        <w:ind w:left="259" w:hanging="259"/>
      </w:pPr>
      <w:r>
        <w:rPr>
          <w:rFonts w:ascii="Times New Roman" w:hAnsi="Times New Roman" w:eastAsia="Times New Roman"/>
          <w:sz w:val="15"/>
        </w:rPr>
        <w:t xml:space="preserve">2. Sato, Y. et al. Three-dimensional multi-scale line filter for segmentation and visualization of curvilinear structures in medical images. </w:t>
      </w:r>
      <w:r>
        <w:rPr>
          <w:rFonts w:ascii="Times New Roman" w:hAnsi="Times New Roman" w:eastAsia="Times New Roman"/>
          <w:i/>
          <w:sz w:val="15"/>
        </w:rPr>
        <w:t>Medical Image Analysis</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143–168 (1998). https://doi.org/10.1016/S1361-8415(98)80009-1</w:t>
      </w:r>
    </w:p>
    <w:p>
      <w:pPr>
        <w:spacing w:after="0" w:line="240" w:lineRule="auto"/>
        <w:ind w:left="259" w:hanging="259"/>
      </w:pPr>
      <w:r>
        <w:rPr>
          <w:rFonts w:ascii="Times New Roman" w:hAnsi="Times New Roman" w:eastAsia="Times New Roman"/>
          <w:sz w:val="15"/>
        </w:rPr>
        <w:t xml:space="preserve">3. Hildebrand, T. &amp; Rüegsegger, P. A new method for the model-independent assessment of thickness in three-dimensional images. </w:t>
      </w:r>
      <w:r>
        <w:rPr>
          <w:rFonts w:ascii="Times New Roman" w:hAnsi="Times New Roman" w:eastAsia="Times New Roman"/>
          <w:i/>
          <w:sz w:val="15"/>
        </w:rPr>
        <w:t>Journal of Microscopy</w:t>
      </w:r>
      <w:r>
        <w:rPr>
          <w:rFonts w:ascii="Times New Roman" w:hAnsi="Times New Roman" w:eastAsia="Times New Roman"/>
          <w:sz w:val="15"/>
        </w:rPr>
        <w:t xml:space="preserve"> </w:t>
      </w:r>
      <w:r>
        <w:rPr>
          <w:rFonts w:ascii="Times New Roman" w:hAnsi="Times New Roman" w:eastAsia="Times New Roman"/>
          <w:b/>
          <w:sz w:val="15"/>
        </w:rPr>
        <w:t>185</w:t>
      </w:r>
      <w:r>
        <w:rPr>
          <w:rFonts w:ascii="Times New Roman" w:hAnsi="Times New Roman" w:eastAsia="Times New Roman"/>
          <w:sz w:val="15"/>
        </w:rPr>
        <w:t>, 67–75 (1997).</w:t>
      </w:r>
    </w:p>
    <w:p>
      <w:pPr>
        <w:spacing w:after="0" w:line="240" w:lineRule="auto"/>
        <w:ind w:left="259" w:hanging="259"/>
      </w:pPr>
      <w:r>
        <w:rPr>
          <w:rFonts w:ascii="Times New Roman" w:hAnsi="Times New Roman" w:eastAsia="Times New Roman"/>
          <w:sz w:val="15"/>
        </w:rPr>
        <w:t xml:space="preserve">4. Mallat, S. Group invariant scattering. </w:t>
      </w:r>
      <w:r>
        <w:rPr>
          <w:rFonts w:ascii="Times New Roman" w:hAnsi="Times New Roman" w:eastAsia="Times New Roman"/>
          <w:i/>
          <w:sz w:val="15"/>
        </w:rPr>
        <w:t>Communications on Pure and Applied Mathematics</w:t>
      </w:r>
      <w:r>
        <w:rPr>
          <w:rFonts w:ascii="Times New Roman" w:hAnsi="Times New Roman" w:eastAsia="Times New Roman"/>
          <w:sz w:val="15"/>
        </w:rPr>
        <w:t xml:space="preserve"> </w:t>
      </w:r>
      <w:r>
        <w:rPr>
          <w:rFonts w:ascii="Times New Roman" w:hAnsi="Times New Roman" w:eastAsia="Times New Roman"/>
          <w:b/>
          <w:sz w:val="15"/>
        </w:rPr>
        <w:t>65</w:t>
      </w:r>
      <w:r>
        <w:rPr>
          <w:rFonts w:ascii="Times New Roman" w:hAnsi="Times New Roman" w:eastAsia="Times New Roman"/>
          <w:sz w:val="15"/>
        </w:rPr>
        <w:t>, 1331–1398 (2012).</w:t>
      </w:r>
    </w:p>
    <w:p>
      <w:pPr>
        <w:spacing w:after="0" w:line="240" w:lineRule="auto"/>
        <w:ind w:left="259" w:hanging="259"/>
      </w:pPr>
      <w:r>
        <w:rPr>
          <w:rFonts w:ascii="Times New Roman" w:hAnsi="Times New Roman" w:eastAsia="Times New Roman"/>
          <w:sz w:val="15"/>
        </w:rPr>
        <w:t xml:space="preserve">5. Zwanenburg, A. et al. The Image Biomarker Standardization Initiative: standardized quantitative radiomics for high-throughput image-based phenotyping. </w:t>
      </w:r>
      <w:r>
        <w:rPr>
          <w:rFonts w:ascii="Times New Roman" w:hAnsi="Times New Roman" w:eastAsia="Times New Roman"/>
          <w:i/>
          <w:sz w:val="15"/>
        </w:rPr>
        <w:t>Radiology</w:t>
      </w:r>
      <w:r>
        <w:rPr>
          <w:rFonts w:ascii="Times New Roman" w:hAnsi="Times New Roman" w:eastAsia="Times New Roman"/>
          <w:sz w:val="15"/>
        </w:rPr>
        <w:t xml:space="preserve"> </w:t>
      </w:r>
      <w:r>
        <w:rPr>
          <w:rFonts w:ascii="Times New Roman" w:hAnsi="Times New Roman" w:eastAsia="Times New Roman"/>
          <w:b/>
          <w:sz w:val="15"/>
        </w:rPr>
        <w:t>295</w:t>
      </w:r>
      <w:r>
        <w:rPr>
          <w:rFonts w:ascii="Times New Roman" w:hAnsi="Times New Roman" w:eastAsia="Times New Roman"/>
          <w:sz w:val="15"/>
        </w:rPr>
        <w:t>, 328–338 (2020). https://doi.org/10.1148/radiol.2020191145</w:t>
      </w:r>
    </w:p>
    <w:p>
      <w:pPr>
        <w:spacing w:after="0" w:line="240" w:lineRule="auto"/>
        <w:ind w:left="259" w:hanging="259"/>
      </w:pPr>
      <w:r>
        <w:rPr>
          <w:rFonts w:ascii="Times New Roman" w:hAnsi="Times New Roman" w:eastAsia="Times New Roman"/>
          <w:sz w:val="15"/>
        </w:rPr>
        <w:t xml:space="preserve">6. Carpenter, A. E. et al. CellProfiler: image analysis software for identifying and quantifying cell phenotypes. </w:t>
      </w:r>
      <w:r>
        <w:rPr>
          <w:rFonts w:ascii="Times New Roman" w:hAnsi="Times New Roman" w:eastAsia="Times New Roman"/>
          <w:i/>
          <w:sz w:val="15"/>
        </w:rPr>
        <w:t>Genome Biology</w:t>
      </w:r>
      <w:r>
        <w:rPr>
          <w:rFonts w:ascii="Times New Roman" w:hAnsi="Times New Roman" w:eastAsia="Times New Roman"/>
          <w:sz w:val="15"/>
        </w:rPr>
        <w:t xml:space="preserve"> </w:t>
      </w:r>
      <w:r>
        <w:rPr>
          <w:rFonts w:ascii="Times New Roman" w:hAnsi="Times New Roman" w:eastAsia="Times New Roman"/>
          <w:b/>
          <w:sz w:val="15"/>
        </w:rPr>
        <w:t>7</w:t>
      </w:r>
      <w:r>
        <w:rPr>
          <w:rFonts w:ascii="Times New Roman" w:hAnsi="Times New Roman" w:eastAsia="Times New Roman"/>
          <w:sz w:val="15"/>
        </w:rPr>
        <w:t>, R100 (2006).</w:t>
      </w:r>
    </w:p>
    <w:p>
      <w:pPr>
        <w:spacing w:after="0" w:line="240" w:lineRule="auto"/>
        <w:ind w:left="259" w:hanging="259"/>
      </w:pPr>
      <w:r>
        <w:rPr>
          <w:rFonts w:ascii="Times New Roman" w:hAnsi="Times New Roman" w:eastAsia="Times New Roman"/>
          <w:sz w:val="15"/>
        </w:rPr>
        <w:t xml:space="preserve">7. Dougherty, R. &amp; Kunzelmann, K.-H. Computing local thickness of 3D structures with ImageJ. </w:t>
      </w:r>
      <w:r>
        <w:rPr>
          <w:rFonts w:ascii="Times New Roman" w:hAnsi="Times New Roman" w:eastAsia="Times New Roman"/>
          <w:i/>
          <w:sz w:val="15"/>
        </w:rPr>
        <w:t>Microscopy and Microanalysis</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1678–1679 (2007).</w:t>
      </w:r>
    </w:p>
    <w:p>
      <w:pPr>
        <w:spacing w:after="0" w:line="240" w:lineRule="auto"/>
        <w:ind w:left="259" w:hanging="259"/>
      </w:pPr>
      <w:r>
        <w:rPr>
          <w:rFonts w:ascii="Times New Roman" w:hAnsi="Times New Roman" w:eastAsia="Times New Roman"/>
          <w:sz w:val="15"/>
        </w:rPr>
        <w:t xml:space="preserve">8. Plotnick, R. E., Gardner, R. H., Hargrove, W. W., Prestegaard, K. &amp; Perlmutter, M. Lacunarity analysis: a general technique for the analysis of spatial patterns. </w:t>
      </w:r>
      <w:r>
        <w:rPr>
          <w:rFonts w:ascii="Times New Roman" w:hAnsi="Times New Roman" w:eastAsia="Times New Roman"/>
          <w:i/>
          <w:sz w:val="15"/>
        </w:rPr>
        <w:t>Physical Review E</w:t>
      </w:r>
      <w:r>
        <w:rPr>
          <w:rFonts w:ascii="Times New Roman" w:hAnsi="Times New Roman" w:eastAsia="Times New Roman"/>
          <w:sz w:val="15"/>
        </w:rPr>
        <w:t xml:space="preserve"> </w:t>
      </w:r>
      <w:r>
        <w:rPr>
          <w:rFonts w:ascii="Times New Roman" w:hAnsi="Times New Roman" w:eastAsia="Times New Roman"/>
          <w:b/>
          <w:sz w:val="15"/>
        </w:rPr>
        <w:t>53</w:t>
      </w:r>
      <w:r>
        <w:rPr>
          <w:rFonts w:ascii="Times New Roman" w:hAnsi="Times New Roman" w:eastAsia="Times New Roman"/>
          <w:sz w:val="15"/>
        </w:rPr>
        <w:t>, 5461–5468 (1996). https://doi.org/10.1103/PhysRevE.53.5461</w:t>
      </w:r>
    </w:p>
    <w:p>
      <w:pPr>
        <w:spacing w:after="0" w:line="240" w:lineRule="auto"/>
        <w:ind w:left="259" w:hanging="259"/>
      </w:pPr>
      <w:r>
        <w:rPr>
          <w:rFonts w:ascii="Times New Roman" w:hAnsi="Times New Roman" w:eastAsia="Times New Roman"/>
          <w:sz w:val="15"/>
        </w:rPr>
        <w:t xml:space="preserve">9. Bubenik, P. Statistical topological data analysis using persistence landscapes.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16</w:t>
      </w:r>
      <w:r>
        <w:rPr>
          <w:rFonts w:ascii="Times New Roman" w:hAnsi="Times New Roman" w:eastAsia="Times New Roman"/>
          <w:sz w:val="15"/>
        </w:rPr>
        <w:t>, 77–102 (2015).</w:t>
      </w:r>
    </w:p>
    <w:p>
      <w:pPr>
        <w:spacing w:after="0" w:line="240" w:lineRule="auto"/>
        <w:ind w:left="259" w:hanging="259"/>
      </w:pPr>
      <w:r>
        <w:rPr>
          <w:rFonts w:ascii="Times New Roman" w:hAnsi="Times New Roman" w:eastAsia="Times New Roman"/>
          <w:sz w:val="15"/>
        </w:rPr>
        <w:t xml:space="preserve">10. Roberts, B. C. et al. Application of digital volume correlation for the measurement of displacement and strain fields in bone: a literature review. </w:t>
      </w:r>
      <w:r>
        <w:rPr>
          <w:rFonts w:ascii="Times New Roman" w:hAnsi="Times New Roman" w:eastAsia="Times New Roman"/>
          <w:i/>
          <w:sz w:val="15"/>
        </w:rPr>
        <w:t>Journal of Biomechanics</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923–934 (2014). https://doi.org/10.1016/j.jbiomech.2014.01.001</w:t>
      </w:r>
    </w:p>
    <w:p>
      <w:pPr>
        <w:spacing w:after="0" w:line="240" w:lineRule="auto"/>
        <w:ind w:left="259" w:hanging="259"/>
      </w:pPr>
      <w:r>
        <w:rPr>
          <w:rFonts w:ascii="Times New Roman" w:hAnsi="Times New Roman" w:eastAsia="Times New Roman"/>
          <w:sz w:val="15"/>
        </w:rPr>
        <w:t xml:space="preserve">11. Ljosa, V., Sokolnicki, K. L. &amp; Carpenter, A. E. Annotated high-throughput microscopy image sets for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637 (2012). https://doi.org/10.1038/nmeth.2083</w:t>
      </w:r>
    </w:p>
    <w:p>
      <w:pPr>
        <w:spacing w:after="0" w:line="240" w:lineRule="auto"/>
        <w:ind w:left="259" w:hanging="259"/>
      </w:pPr>
      <w:r>
        <w:rPr>
          <w:rFonts w:ascii="Times New Roman" w:hAnsi="Times New Roman" w:eastAsia="Times New Roman"/>
          <w:sz w:val="15"/>
        </w:rPr>
        <w:t xml:space="preserve">12. Andreux, M. et al. Kymatio: scattering transforms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1–6 (2020).</w:t>
      </w:r>
    </w:p>
    <w:p>
      <w:pPr>
        <w:spacing w:after="0" w:line="240" w:lineRule="auto"/>
        <w:ind w:left="259" w:hanging="259"/>
      </w:pPr>
      <w:r>
        <w:rPr>
          <w:rFonts w:ascii="Times New Roman" w:hAnsi="Times New Roman" w:eastAsia="Times New Roman"/>
          <w:sz w:val="15"/>
        </w:rPr>
        <w:t xml:space="preserve">13. van Griethuysen, J. J. M. et al. Computational radiomics system to decode the radiographic phenotype. </w:t>
      </w:r>
      <w:r>
        <w:rPr>
          <w:rFonts w:ascii="Times New Roman" w:hAnsi="Times New Roman" w:eastAsia="Times New Roman"/>
          <w:i/>
          <w:sz w:val="15"/>
        </w:rPr>
        <w:t>Cancer Research</w:t>
      </w:r>
      <w:r>
        <w:rPr>
          <w:rFonts w:ascii="Times New Roman" w:hAnsi="Times New Roman" w:eastAsia="Times New Roman"/>
          <w:sz w:val="15"/>
        </w:rPr>
        <w:t xml:space="preserve"> </w:t>
      </w:r>
      <w:r>
        <w:rPr>
          <w:rFonts w:ascii="Times New Roman" w:hAnsi="Times New Roman" w:eastAsia="Times New Roman"/>
          <w:b/>
          <w:sz w:val="15"/>
        </w:rPr>
        <w:t>77</w:t>
      </w:r>
      <w:r>
        <w:rPr>
          <w:rFonts w:ascii="Times New Roman" w:hAnsi="Times New Roman" w:eastAsia="Times New Roman"/>
          <w:sz w:val="15"/>
        </w:rPr>
        <w:t>, e104–e107 (2017). https://doi.org/10.1158/0008-5472.CAN-17-0339</w:t>
      </w:r>
    </w:p>
    <w:p>
      <w:pPr>
        <w:spacing w:after="0" w:line="240" w:lineRule="auto"/>
        <w:ind w:left="259" w:hanging="259"/>
      </w:pPr>
      <w:r>
        <w:rPr>
          <w:rFonts w:ascii="Times New Roman" w:hAnsi="Times New Roman" w:eastAsia="Times New Roman"/>
          <w:sz w:val="15"/>
        </w:rPr>
        <w:t xml:space="preserve">14. Harris, C. R. et al. Array programming with NumPy. </w:t>
      </w:r>
      <w:r>
        <w:rPr>
          <w:rFonts w:ascii="Times New Roman" w:hAnsi="Times New Roman" w:eastAsia="Times New Roman"/>
          <w:i/>
          <w:sz w:val="15"/>
        </w:rPr>
        <w:t>Nature</w:t>
      </w:r>
      <w:r>
        <w:rPr>
          <w:rFonts w:ascii="Times New Roman" w:hAnsi="Times New Roman" w:eastAsia="Times New Roman"/>
          <w:sz w:val="15"/>
        </w:rPr>
        <w:t xml:space="preserve"> </w:t>
      </w:r>
      <w:r>
        <w:rPr>
          <w:rFonts w:ascii="Times New Roman" w:hAnsi="Times New Roman" w:eastAsia="Times New Roman"/>
          <w:b/>
          <w:sz w:val="15"/>
        </w:rPr>
        <w:t>585</w:t>
      </w:r>
      <w:r>
        <w:rPr>
          <w:rFonts w:ascii="Times New Roman" w:hAnsi="Times New Roman" w:eastAsia="Times New Roman"/>
          <w:sz w:val="15"/>
        </w:rPr>
        <w:t>, 357–362 (2020). https://doi.org/10.1038/s41586-020-2649-2</w:t>
      </w:r>
    </w:p>
    <w:p>
      <w:pPr>
        <w:spacing w:after="0" w:line="240" w:lineRule="auto"/>
        <w:ind w:left="259" w:hanging="259"/>
      </w:pPr>
      <w:r>
        <w:rPr>
          <w:rFonts w:ascii="Times New Roman" w:hAnsi="Times New Roman" w:eastAsia="Times New Roman"/>
          <w:sz w:val="15"/>
        </w:rPr>
        <w:t xml:space="preserve">15. Virtanen, P. et al. SciPy 1.0: fundamental algorithms for scientific computing in Python.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17</w:t>
      </w:r>
      <w:r>
        <w:rPr>
          <w:rFonts w:ascii="Times New Roman" w:hAnsi="Times New Roman" w:eastAsia="Times New Roman"/>
          <w:sz w:val="15"/>
        </w:rPr>
        <w:t>, 261–272 (2020). https://doi.org/10.1038/s41592-019-0686-2</w:t>
      </w:r>
    </w:p>
    <w:p>
      <w:pPr>
        <w:spacing w:after="0" w:line="240" w:lineRule="auto"/>
        <w:ind w:left="259" w:hanging="259"/>
      </w:pPr>
      <w:r>
        <w:rPr>
          <w:rFonts w:ascii="Times New Roman" w:hAnsi="Times New Roman" w:eastAsia="Times New Roman"/>
          <w:sz w:val="15"/>
        </w:rPr>
        <w:t xml:space="preserve">16. van der Walt, S. et al. scikit-image: image processing in Python. </w:t>
      </w:r>
      <w:r>
        <w:rPr>
          <w:rFonts w:ascii="Times New Roman" w:hAnsi="Times New Roman" w:eastAsia="Times New Roman"/>
          <w:i/>
          <w:sz w:val="15"/>
        </w:rPr>
        <w:t>PeerJ</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e453 (2014). https://doi.org/10.7717/peerj.453</w:t>
      </w:r>
    </w:p>
    <w:p>
      <w:pPr>
        <w:spacing w:after="0" w:line="240" w:lineRule="auto"/>
        <w:ind w:left="259" w:hanging="259"/>
      </w:pPr>
      <w:r>
        <w:rPr>
          <w:rFonts w:ascii="Times New Roman" w:hAnsi="Times New Roman" w:eastAsia="Times New Roman"/>
          <w:sz w:val="15"/>
        </w:rPr>
        <w:t xml:space="preserve">17. Pedregosa, F. et al. Scikit-learn: machine learning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12</w:t>
      </w:r>
      <w:r>
        <w:rPr>
          <w:rFonts w:ascii="Times New Roman" w:hAnsi="Times New Roman" w:eastAsia="Times New Roman"/>
          <w:sz w:val="15"/>
        </w:rPr>
        <w:t>, 2825–2830 (2011).</w:t>
      </w:r>
    </w:p>
    <w:p>
      <w:pPr>
        <w:spacing w:after="0" w:line="240" w:lineRule="auto"/>
        <w:ind w:left="259" w:hanging="259"/>
      </w:pPr>
      <w:r>
        <w:rPr>
          <w:rFonts w:ascii="Times New Roman" w:hAnsi="Times New Roman" w:eastAsia="Times New Roman"/>
          <w:sz w:val="15"/>
        </w:rPr>
        <w:t xml:space="preserve">18. Doube, M. et al. BoneJ: free and extensible bone image analysis in ImageJ. </w:t>
      </w:r>
      <w:r>
        <w:rPr>
          <w:rFonts w:ascii="Times New Roman" w:hAnsi="Times New Roman" w:eastAsia="Times New Roman"/>
          <w:i/>
          <w:sz w:val="15"/>
        </w:rPr>
        <w:t>Bone</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1076–1079 (2010). https://doi.org/10.1016/j.bone.2010.08.023</w:t>
      </w:r>
    </w:p>
    <w:p>
      <w:pPr>
        <w:spacing w:after="0" w:line="240" w:lineRule="auto"/>
        <w:ind w:left="259" w:hanging="259"/>
      </w:pPr>
      <w:r>
        <w:rPr>
          <w:rFonts w:ascii="Times New Roman" w:hAnsi="Times New Roman" w:eastAsia="Times New Roman"/>
          <w:sz w:val="15"/>
        </w:rPr>
        <w:t xml:space="preserve">19. Schneider, C. A., Rasband, W. S. &amp; Eliceiri, K. W. NIH Image to ImageJ: 25 years of image analysis.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671–675 (2012). https://doi.org/10.1038/nmeth.2089</w:t>
      </w:r>
    </w:p>
    <w:p>
      <w:pPr>
        <w:spacing w:after="0" w:line="240" w:lineRule="auto"/>
        <w:ind w:left="259" w:hanging="259"/>
      </w:pPr>
      <w:r>
        <w:rPr>
          <w:rFonts w:ascii="Times New Roman" w:hAnsi="Times New Roman" w:eastAsia="Times New Roman"/>
          <w:sz w:val="15"/>
        </w:rPr>
        <w:t xml:space="preserve">20. Haralick, R. M., Shanmugam, K. &amp; Dinstein, I. Textural features for image classification.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SMC-3</w:t>
      </w:r>
      <w:r>
        <w:rPr>
          <w:rFonts w:ascii="Times New Roman" w:hAnsi="Times New Roman" w:eastAsia="Times New Roman"/>
          <w:sz w:val="15"/>
        </w:rPr>
        <w:t>, 610–621 (1973). https://doi.org/10.1109/TSMC.1973.4309314</w:t>
      </w:r>
    </w:p>
    <w:p>
      <w:pPr>
        <w:spacing w:after="0" w:line="240" w:lineRule="auto"/>
        <w:ind w:left="259" w:hanging="259"/>
      </w:pPr>
      <w:r>
        <w:rPr>
          <w:rFonts w:ascii="Times New Roman" w:hAnsi="Times New Roman" w:eastAsia="Times New Roman"/>
          <w:sz w:val="15"/>
        </w:rPr>
        <w:t xml:space="preserve">21. Otsu, N. A threshold selection method from gray-level histograms.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62–66 (1979). https://doi.org/10.1109/TSMC.1979.4310076</w:t>
      </w:r>
    </w:p>
    <w:p>
      <w:pPr>
        <w:spacing w:after="0" w:line="240" w:lineRule="auto"/>
        <w:ind w:left="259" w:hanging="259"/>
      </w:pPr>
      <w:r>
        <w:rPr>
          <w:rFonts w:ascii="Times New Roman" w:hAnsi="Times New Roman" w:eastAsia="Times New Roman"/>
          <w:sz w:val="15"/>
        </w:rPr>
        <w:t xml:space="preserve">22. Maier-Hein, L. et al. Metrics reloaded: recommendations for image analysis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195–212 (2024). https://doi.org/10.1038/s41592-023-02151-z</w:t>
      </w:r>
    </w:p>
    <w:p>
      <w:pPr>
        <w:spacing w:after="0" w:line="240" w:lineRule="auto"/>
        <w:ind w:left="259" w:hanging="259"/>
      </w:pPr>
      <w:r>
        <w:rPr>
          <w:rFonts w:ascii="Times New Roman" w:hAnsi="Times New Roman" w:eastAsia="Times New Roman"/>
          <w:sz w:val="15"/>
        </w:rPr>
        <w:t xml:space="preserve">23. Efron, B. &amp; Tibshirani, R. J. </w:t>
      </w:r>
      <w:r>
        <w:rPr>
          <w:rFonts w:ascii="Times New Roman" w:hAnsi="Times New Roman" w:eastAsia="Times New Roman"/>
          <w:i/>
          <w:sz w:val="15"/>
        </w:rPr>
        <w:t>An Introduction to the Bootstrap</w:t>
      </w:r>
      <w:r>
        <w:rPr>
          <w:rFonts w:ascii="Times New Roman" w:hAnsi="Times New Roman" w:eastAsia="Times New Roman"/>
          <w:sz w:val="15"/>
        </w:rPr>
        <w:t>. (Chapman &amp; Hall/CRC, 1993).</w:t>
      </w:r>
    </w:p>
    <w:p>
      <w:pPr>
        <w:spacing w:after="0" w:line="240" w:lineRule="auto"/>
        <w:ind w:left="259" w:hanging="259"/>
      </w:pPr>
      <w:r>
        <w:rPr>
          <w:rFonts w:ascii="Times New Roman" w:hAnsi="Times New Roman" w:eastAsia="Times New Roman"/>
          <w:sz w:val="15"/>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5"/>
        </w:rPr>
        <w:t>Data in Brief</w:t>
      </w:r>
      <w:r>
        <w:rPr>
          <w:rFonts w:ascii="Times New Roman" w:hAnsi="Times New Roman" w:eastAsia="Times New Roman"/>
          <w:sz w:val="15"/>
        </w:rPr>
        <w:t xml:space="preserve"> </w:t>
      </w:r>
      <w:r>
        <w:rPr>
          <w:rFonts w:ascii="Times New Roman" w:hAnsi="Times New Roman" w:eastAsia="Times New Roman"/>
          <w:b/>
          <w:sz w:val="15"/>
        </w:rPr>
        <w:t>37</w:t>
      </w:r>
      <w:r>
        <w:rPr>
          <w:rFonts w:ascii="Times New Roman" w:hAnsi="Times New Roman" w:eastAsia="Times New Roman"/>
          <w:sz w:val="15"/>
        </w:rPr>
        <w:t>, 107129 (2021). https://doi.org/10.1016/j.dib.2021.107129</w:t>
      </w:r>
    </w:p>
    <w:p>
      <w:pPr>
        <w:spacing w:after="0" w:line="240" w:lineRule="auto"/>
        <w:ind w:left="259" w:hanging="259"/>
      </w:pPr>
      <w:r>
        <w:rPr>
          <w:rFonts w:ascii="Times New Roman" w:hAnsi="Times New Roman" w:eastAsia="Times New Roman"/>
          <w:sz w:val="15"/>
        </w:rPr>
        <w:t xml:space="preserve">25. Pritzker, K. P. H. et al. Osteoarthritis cartilage histopathology: grading and staging.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14</w:t>
      </w:r>
      <w:r>
        <w:rPr>
          <w:rFonts w:ascii="Times New Roman" w:hAnsi="Times New Roman" w:eastAsia="Times New Roman"/>
          <w:sz w:val="15"/>
        </w:rPr>
        <w:t>, 13–29 (2006). https://doi.org/10.1016/j.joca.2005.07.014</w:t>
      </w:r>
    </w:p>
    <w:p>
      <w:pPr>
        <w:spacing w:after="0" w:line="240" w:lineRule="auto"/>
        <w:ind w:left="259" w:hanging="259"/>
      </w:pPr>
      <w:r>
        <w:rPr>
          <w:rFonts w:ascii="Times New Roman" w:hAnsi="Times New Roman" w:eastAsia="Times New Roman"/>
          <w:sz w:val="15"/>
        </w:rPr>
        <w:t xml:space="preserve">26. Changoor, A. et al. A polarized light microscopy method for accurate and reliable grading of collagen organization in cartilage repair.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19</w:t>
      </w:r>
      <w:r>
        <w:rPr>
          <w:rFonts w:ascii="Times New Roman" w:hAnsi="Times New Roman" w:eastAsia="Times New Roman"/>
          <w:sz w:val="15"/>
        </w:rPr>
        <w:t>, 126–135 (2011). https://doi.org/10.1016/j.joca.2010.10.010</w:t>
      </w:r>
    </w:p>
    <w:p>
      <w:pPr>
        <w:spacing w:after="0" w:line="240" w:lineRule="auto"/>
        <w:ind w:left="259" w:hanging="259"/>
      </w:pPr>
      <w:r>
        <w:rPr>
          <w:rFonts w:ascii="Times New Roman" w:hAnsi="Times New Roman" w:eastAsia="Times New Roman"/>
          <w:sz w:val="15"/>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5"/>
        </w:rPr>
        <w:t>Cartilage</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