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5979" w14:textId="77777777" w:rsidR="00315C5F" w:rsidRDefault="00000000">
      <w:pPr>
        <w:spacing w:after="60"/>
        <w:jc w:val="center"/>
      </w:pPr>
      <w:r>
        <w:rPr>
          <w:rFonts w:eastAsia="Times New Roman"/>
          <w:b/>
          <w:bCs/>
          <w:color w:val="1B4F72"/>
          <w:sz w:val="26"/>
          <w:szCs w:val="26"/>
        </w:rPr>
        <w:t>From Silence to Acute Return: Sequence-Based Segmentation of Chronic Disease Care Pathways</w:t>
      </w:r>
    </w:p>
    <w:p w14:paraId="5D06768F" w14:textId="05B7A75C" w:rsidR="00315C5F" w:rsidRDefault="00000000">
      <w:pPr>
        <w:spacing w:after="180"/>
        <w:jc w:val="center"/>
      </w:pPr>
      <w:r>
        <w:rPr>
          <w:rFonts w:eastAsia="Times New Roman"/>
          <w:color w:val="555555"/>
        </w:rPr>
        <w:t xml:space="preserve">Team ID: 07V | Team Name: CUEB | Members: </w:t>
      </w:r>
      <w:r w:rsidR="00C97BA6">
        <w:rPr>
          <w:rFonts w:eastAsia="Times New Roman"/>
          <w:color w:val="555555"/>
        </w:rPr>
        <w:t>Lei Duli</w:t>
      </w:r>
      <w:r>
        <w:rPr>
          <w:rFonts w:eastAsia="Times New Roman"/>
          <w:color w:val="555555"/>
        </w:rPr>
        <w:t xml:space="preserve">, </w:t>
      </w:r>
      <w:r w:rsidR="00C97BA6">
        <w:rPr>
          <w:rFonts w:eastAsia="Times New Roman"/>
          <w:color w:val="555555"/>
        </w:rPr>
        <w:t>Liu Haoyang</w:t>
      </w:r>
      <w:r>
        <w:rPr>
          <w:rFonts w:eastAsia="Times New Roman"/>
          <w:color w:val="555555"/>
        </w:rPr>
        <w:t>,</w:t>
      </w:r>
      <w:r w:rsidR="00C97BA6">
        <w:rPr>
          <w:rFonts w:eastAsia="Times New Roman"/>
          <w:color w:val="555555"/>
        </w:rPr>
        <w:t xml:space="preserve"> Li Haonan</w:t>
      </w:r>
      <w:r>
        <w:rPr>
          <w:rFonts w:eastAsia="Times New Roman"/>
          <w:color w:val="555555"/>
        </w:rPr>
        <w:t>,</w:t>
      </w:r>
      <w:r w:rsidR="00C97BA6">
        <w:rPr>
          <w:rFonts w:eastAsia="Times New Roman"/>
          <w:color w:val="555555"/>
        </w:rPr>
        <w:t xml:space="preserve"> Guo Jiawei, Chen Chaoran</w:t>
      </w:r>
    </w:p>
    <w:p w14:paraId="5BFF32AD" w14:textId="77777777" w:rsidR="00315C5F" w:rsidRDefault="00315C5F">
      <w:pPr>
        <w:pBdr>
          <w:bottom w:val="single" w:sz="4" w:space="1" w:color="1B4F72"/>
        </w:pBdr>
        <w:spacing w:after="160"/>
      </w:pPr>
    </w:p>
    <w:p w14:paraId="6847F1CF" w14:textId="77777777" w:rsidR="00315C5F" w:rsidRPr="00540C85" w:rsidRDefault="00000000" w:rsidP="00540C85">
      <w:pPr>
        <w:spacing w:after="120"/>
        <w:rPr>
          <w:sz w:val="24"/>
          <w:szCs w:val="24"/>
        </w:rPr>
      </w:pPr>
      <w:r w:rsidRPr="00540C85">
        <w:rPr>
          <w:rFonts w:eastAsia="Times New Roman"/>
          <w:b/>
          <w:bCs/>
          <w:sz w:val="24"/>
          <w:szCs w:val="24"/>
        </w:rPr>
        <w:t>Project Goal.</w:t>
      </w:r>
      <w:r w:rsidRPr="00540C85">
        <w:rPr>
          <w:rFonts w:eastAsia="Times New Roman"/>
          <w:sz w:val="24"/>
          <w:szCs w:val="24"/>
        </w:rPr>
        <w:t xml:space="preserve"> We set out to determine whether chronic disease patients with diabetes and hypertension follow distinct longitudinal care pathways—and critically, whether a subgroup exists that silently disengages from routine care only to re-enter the health system through emergency or inpatient services.</w:t>
      </w:r>
    </w:p>
    <w:p w14:paraId="2B147FAC" w14:textId="77777777" w:rsidR="00315C5F" w:rsidRPr="00540C85" w:rsidRDefault="00000000" w:rsidP="00540C85">
      <w:pPr>
        <w:spacing w:after="120"/>
        <w:rPr>
          <w:sz w:val="24"/>
          <w:szCs w:val="24"/>
        </w:rPr>
      </w:pPr>
      <w:r w:rsidRPr="00540C85">
        <w:rPr>
          <w:rFonts w:eastAsia="Times New Roman"/>
          <w:b/>
          <w:bCs/>
          <w:sz w:val="24"/>
          <w:szCs w:val="24"/>
        </w:rPr>
        <w:t>Data and Preparation.</w:t>
      </w:r>
      <w:r w:rsidRPr="00540C85">
        <w:rPr>
          <w:rFonts w:eastAsia="Times New Roman"/>
          <w:sz w:val="24"/>
          <w:szCs w:val="24"/>
        </w:rPr>
        <w:t xml:space="preserve"> Our analysis drew on Stormont Vail Health’s integrated encounter master table covering 46,714 chronic disease patients and 3,073,410 unique encounters from 2022 to 2025. Because the source table contained duplicate </w:t>
      </w:r>
      <w:proofErr w:type="spellStart"/>
      <w:r w:rsidRPr="00540C85">
        <w:rPr>
          <w:rFonts w:eastAsia="Times New Roman"/>
          <w:sz w:val="24"/>
          <w:szCs w:val="24"/>
        </w:rPr>
        <w:t>EncounterKey</w:t>
      </w:r>
      <w:proofErr w:type="spellEnd"/>
      <w:r w:rsidRPr="00540C85">
        <w:rPr>
          <w:rFonts w:eastAsia="Times New Roman"/>
          <w:sz w:val="24"/>
          <w:szCs w:val="24"/>
        </w:rPr>
        <w:t xml:space="preserve"> rows arising from diagnosis-level joins, we first deduplicated to one record per true encounter, ensuring that downstream visit frequencies and gap metrics were not artificially inflated.</w:t>
      </w:r>
    </w:p>
    <w:p w14:paraId="4C72AB6C" w14:textId="77777777" w:rsidR="00315C5F" w:rsidRPr="00540C85" w:rsidRDefault="00000000" w:rsidP="00540C85">
      <w:pPr>
        <w:spacing w:after="120"/>
        <w:rPr>
          <w:sz w:val="24"/>
          <w:szCs w:val="24"/>
        </w:rPr>
      </w:pPr>
      <w:r w:rsidRPr="00540C85">
        <w:rPr>
          <w:rFonts w:eastAsia="Times New Roman"/>
          <w:b/>
          <w:bCs/>
          <w:sz w:val="24"/>
          <w:szCs w:val="24"/>
        </w:rPr>
        <w:t>Methods.</w:t>
      </w:r>
      <w:r w:rsidRPr="00540C85">
        <w:rPr>
          <w:rFonts w:eastAsia="Times New Roman"/>
          <w:sz w:val="24"/>
          <w:szCs w:val="24"/>
        </w:rPr>
        <w:t xml:space="preserve"> We encoded each encounter as a behavioral event: routine visit (1), specialist visit (2), or acute ED/inpatient event (3). Crucially, when a patient had more than 90 days between visits, we inserted a silence marker (0) to represent disengagement from care—transforming the absence of data into an analytically visible signal. Six patient-level features were then derived: total encounters, acute-care ratio, mean gap, gap variability, maximum silence duration, and the probability that a silence period is followed by an acute event. After standardization, we applied K-Means clustering and selected a four-cluster solution based on the elbow method and clinical interpretability.</w:t>
      </w:r>
    </w:p>
    <w:p w14:paraId="66272214" w14:textId="77777777" w:rsidR="00315C5F" w:rsidRPr="00540C85" w:rsidRDefault="00000000" w:rsidP="00540C85">
      <w:pPr>
        <w:spacing w:after="120"/>
        <w:rPr>
          <w:sz w:val="24"/>
          <w:szCs w:val="24"/>
        </w:rPr>
      </w:pPr>
      <w:r w:rsidRPr="00540C85">
        <w:rPr>
          <w:rFonts w:eastAsia="Times New Roman"/>
          <w:b/>
          <w:bCs/>
          <w:sz w:val="24"/>
          <w:szCs w:val="24"/>
        </w:rPr>
        <w:t>Main Findings.</w:t>
      </w:r>
      <w:r w:rsidRPr="00540C85">
        <w:rPr>
          <w:rFonts w:eastAsia="Times New Roman"/>
          <w:sz w:val="24"/>
          <w:szCs w:val="24"/>
        </w:rPr>
        <w:t xml:space="preserve"> The four clusters revealed meaningfully distinct care patterns. Cluster 0 (30.4%) represented high-touch continuous management: frequent visits, short gaps, and very low probability of silence ending in acute care. Cluster 1 (53.2%) was the largest stable-management group, with moderate encounter volume and relatively low acute risk. Cluster 3 (11.6%) represented low-engagement patients with very long silence periods but comparatively low acute escalation. The most consequential group was Cluster 2, comprising only 4.7% of patients yet exhibiting the highest ED/inpatient ratio (12.5%), the highest mortality (7.3%), the lowest MyChart activation (71.7%), and a striking 59% probability that a silence period would end in an acute event.</w:t>
      </w:r>
    </w:p>
    <w:p w14:paraId="06533CED" w14:textId="77777777" w:rsidR="00315C5F" w:rsidRPr="00540C85" w:rsidRDefault="00000000" w:rsidP="00540C85">
      <w:pPr>
        <w:spacing w:after="120"/>
        <w:rPr>
          <w:sz w:val="24"/>
          <w:szCs w:val="24"/>
        </w:rPr>
      </w:pPr>
      <w:r w:rsidRPr="00540C85">
        <w:rPr>
          <w:rFonts w:eastAsia="Times New Roman"/>
          <w:b/>
          <w:bCs/>
          <w:sz w:val="24"/>
          <w:szCs w:val="24"/>
        </w:rPr>
        <w:t>Key Insight.</w:t>
      </w:r>
      <w:r w:rsidRPr="00540C85">
        <w:rPr>
          <w:rFonts w:eastAsia="Times New Roman"/>
          <w:sz w:val="24"/>
          <w:szCs w:val="24"/>
        </w:rPr>
        <w:t xml:space="preserve"> The strongest operational finding is that the highest-risk patients are not simply those with the most visits. Instead, they are patients whose care trajectory becomes unstable after long silent periods. In Cluster 2, nearly six out of ten post-silence transitions ended in ED or inpatient care, suggesting that silence in the clinical record is not a benign gap but a predictive intervention window.</w:t>
      </w:r>
    </w:p>
    <w:p w14:paraId="4254F38A" w14:textId="77777777" w:rsidR="00315C5F" w:rsidRPr="00540C85" w:rsidRDefault="00000000" w:rsidP="00540C85">
      <w:pPr>
        <w:rPr>
          <w:sz w:val="24"/>
          <w:szCs w:val="24"/>
        </w:rPr>
      </w:pPr>
      <w:r w:rsidRPr="00540C85">
        <w:rPr>
          <w:rFonts w:eastAsia="Times New Roman"/>
          <w:b/>
          <w:bCs/>
          <w:sz w:val="24"/>
          <w:szCs w:val="24"/>
        </w:rPr>
        <w:t>Implications.</w:t>
      </w:r>
      <w:r w:rsidRPr="00540C85">
        <w:rPr>
          <w:rFonts w:eastAsia="Times New Roman"/>
          <w:sz w:val="24"/>
          <w:szCs w:val="24"/>
        </w:rPr>
        <w:t xml:space="preserve"> These results support a stratified management strategy. High-touch patients may require sustained chronic care coordination to reduce care burden. Low-engagement patients may benefit from targeted outreach and reactivation campaigns. Most importantly, the acute-unstable cluster should be prioritized for proactive monitoring during silent periods, digital engagement support, and targeted intervention addressing overlapping social determinants of health risk.</w:t>
      </w:r>
    </w:p>
    <w:sectPr w:rsidR="00315C5F" w:rsidRPr="00540C85" w:rsidSect="00540C85">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C678B"/>
    <w:multiLevelType w:val="hybridMultilevel"/>
    <w:tmpl w:val="FA648420"/>
    <w:lvl w:ilvl="0" w:tplc="454498D2">
      <w:start w:val="1"/>
      <w:numFmt w:val="bullet"/>
      <w:lvlText w:val="●"/>
      <w:lvlJc w:val="left"/>
      <w:pPr>
        <w:ind w:left="720" w:hanging="360"/>
      </w:pPr>
    </w:lvl>
    <w:lvl w:ilvl="1" w:tplc="3402AE98">
      <w:start w:val="1"/>
      <w:numFmt w:val="bullet"/>
      <w:lvlText w:val="○"/>
      <w:lvlJc w:val="left"/>
      <w:pPr>
        <w:ind w:left="1440" w:hanging="360"/>
      </w:pPr>
    </w:lvl>
    <w:lvl w:ilvl="2" w:tplc="A53C6C6A">
      <w:start w:val="1"/>
      <w:numFmt w:val="bullet"/>
      <w:lvlText w:val="■"/>
      <w:lvlJc w:val="left"/>
      <w:pPr>
        <w:ind w:left="2160" w:hanging="360"/>
      </w:pPr>
    </w:lvl>
    <w:lvl w:ilvl="3" w:tplc="B5C01FEC">
      <w:start w:val="1"/>
      <w:numFmt w:val="bullet"/>
      <w:lvlText w:val="●"/>
      <w:lvlJc w:val="left"/>
      <w:pPr>
        <w:ind w:left="2880" w:hanging="360"/>
      </w:pPr>
    </w:lvl>
    <w:lvl w:ilvl="4" w:tplc="2BDE51A0">
      <w:start w:val="1"/>
      <w:numFmt w:val="bullet"/>
      <w:lvlText w:val="○"/>
      <w:lvlJc w:val="left"/>
      <w:pPr>
        <w:ind w:left="3600" w:hanging="360"/>
      </w:pPr>
    </w:lvl>
    <w:lvl w:ilvl="5" w:tplc="F35CB830">
      <w:start w:val="1"/>
      <w:numFmt w:val="bullet"/>
      <w:lvlText w:val="■"/>
      <w:lvlJc w:val="left"/>
      <w:pPr>
        <w:ind w:left="4320" w:hanging="360"/>
      </w:pPr>
    </w:lvl>
    <w:lvl w:ilvl="6" w:tplc="9C2CBEFC">
      <w:start w:val="1"/>
      <w:numFmt w:val="bullet"/>
      <w:lvlText w:val="●"/>
      <w:lvlJc w:val="left"/>
      <w:pPr>
        <w:ind w:left="5040" w:hanging="360"/>
      </w:pPr>
    </w:lvl>
    <w:lvl w:ilvl="7" w:tplc="477CE82A">
      <w:start w:val="1"/>
      <w:numFmt w:val="bullet"/>
      <w:lvlText w:val="●"/>
      <w:lvlJc w:val="left"/>
      <w:pPr>
        <w:ind w:left="5760" w:hanging="360"/>
      </w:pPr>
    </w:lvl>
    <w:lvl w:ilvl="8" w:tplc="156075BC">
      <w:start w:val="1"/>
      <w:numFmt w:val="bullet"/>
      <w:lvlText w:val="●"/>
      <w:lvlJc w:val="left"/>
      <w:pPr>
        <w:ind w:left="6480" w:hanging="360"/>
      </w:pPr>
    </w:lvl>
  </w:abstractNum>
  <w:num w:numId="1" w16cid:durableId="1722821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C5F"/>
    <w:rsid w:val="00315C5F"/>
    <w:rsid w:val="003E154C"/>
    <w:rsid w:val="00540C85"/>
    <w:rsid w:val="00BC4609"/>
    <w:rsid w:val="00C97BA6"/>
    <w:rsid w:val="00F37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855BE"/>
  <w15:docId w15:val="{4281C095-D1BD-0542-9690-302880599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B08DB-37F8-BA41-B1B6-C6717AF11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464</Words>
  <Characters>2813</Characters>
  <Application>Microsoft Office Word</Application>
  <DocSecurity>0</DocSecurity>
  <Lines>36</Lines>
  <Paragraphs>9</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Tan</cp:lastModifiedBy>
  <cp:revision>3</cp:revision>
  <dcterms:created xsi:type="dcterms:W3CDTF">2026-03-29T12:34:00Z</dcterms:created>
  <dcterms:modified xsi:type="dcterms:W3CDTF">2026-03-29T13:01:00Z</dcterms:modified>
</cp:coreProperties>
</file>