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240"/>
        <w:jc w:val="center"/>
      </w:pPr>
      <w:r>
        <w:rPr>
          <w:rFonts w:ascii="Calibri" w:hAnsi="Calibri" w:eastAsia="Calibri"/>
          <w:b/>
          <w:color w:val="4F81BD"/>
          <w:sz w:val="26"/>
        </w:rPr>
        <w:t>ART-RANK QUANT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智势量选网站落地实施方案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2E74B5"/>
          <w:sz w:val="28"/>
        </w:rPr>
        <w:t>从数据工程、模型训练到网站发布的文件级开发蓝图</w:t>
      </w:r>
    </w:p>
    <w:p>
      <w:pPr>
        <w:spacing w:after="1400"/>
        <w:jc w:val="center"/>
      </w:pPr>
      <w:r>
        <w:rPr>
          <w:rFonts w:ascii="Calibri" w:hAnsi="Calibri" w:eastAsia="Calibri"/>
          <w:i/>
          <w:color w:val="5B6573"/>
          <w:sz w:val="23"/>
        </w:rPr>
        <w:t>HMM + TFT + PatchTST + LightGBM LambdaRank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i w:val="0"/>
          <w:color w:val="5B6573"/>
          <w:sz w:val="21"/>
        </w:rPr>
        <w:t>版本：V1.0  |  文档日期：2026年7月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i w:val="0"/>
          <w:color w:val="5B6573"/>
          <w:sz w:val="21"/>
        </w:rPr>
        <w:t>适用阶段：研究验证、回测与模拟交易</w:t>
      </w: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实施原则  </w:t>
      </w:r>
      <w:r>
        <w:rPr>
          <w:rFonts w:ascii="Microsoft YaHei" w:hAnsi="Microsoft YaHei" w:eastAsia="Microsoft YaHei"/>
          <w:color w:val="1F2937"/>
          <w:sz w:val="21"/>
        </w:rPr>
        <w:t>先建立可追溯的数据和严格样本外回测，再开发展示页面；第一阶段不接入自动实盘交易。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Microsoft YaHei" w:hAnsi="Microsoft YaHei" w:eastAsia="Microsoft YaHei"/>
          <w:i w:val="0"/>
          <w:color w:val="1F2937"/>
        </w:rPr>
        <w:t>本方案给出ART-Rank Quant网站从零到可运行版本的具体实施路径。最终系统由数据平台、特征库、ART-Rank模型服务、组合与回测引擎、FastAPI后端、Next.js前端、任务调度和模型监控八个部分组成。开发时采用单一代码仓库，所有预测结果、模型版本和调仓结果均保留历史快照，禁止事后覆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项目项</w:t>
            </w:r>
          </w:p>
        </w:tc>
        <w:tc>
          <w:tcPr>
            <w:tcW w:type="dxa" w:w="741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落地选择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产品定位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A股大中小盘风格预测、股票横截面排序和模拟组合分析平台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最终模型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HMM + TFT + PatchTST + LightGBM LambdaRank + 约束组合优化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第一阶段频率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日频数据；收盘后更新；每周训练；每周或阈值触发调仓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股票池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沪深300、中证500、中证1000历史成分股；中证2000后续加入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技术主线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Python/PyTorch/LightGBM + PostgreSQL/Parquet + FastAPI + Next.js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交付边界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8"/>
              </w:rPr>
              <w:t>研究、回测、模拟交易；暂不连接券商实盘订单接口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核心决策  </w:t>
      </w:r>
      <w:r>
        <w:rPr>
          <w:rFonts w:ascii="Microsoft YaHei" w:hAnsi="Microsoft YaHei" w:eastAsia="Microsoft YaHei"/>
          <w:color w:val="1F2937"/>
          <w:sz w:val="21"/>
        </w:rPr>
        <w:t>完整模型按模块逐步上线。先完成数据与LightGBM基线，再加入HMM、TFT和PatchTST。只有滚动样本外结果通过门槛后，才进入模拟组合和网站发布。</w:t>
      </w:r>
    </w:p>
    <w:p>
      <w:pPr>
        <w:pStyle w:val="Heading2"/>
      </w:pPr>
      <w:r>
        <w:t>文档阅读顺序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第1—4章：明确范围、架构、技术栈和开发环境。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第5—12章：列出需要创建的目录、文件、数据表、模型和API。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第13—17章：说明每日运行、测试、部署、阶段计划和验收标准。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附录：给出环境变量、命令入口、第一批开发任务和参考资料。</w:t>
      </w:r>
    </w:p>
    <w:p>
      <w:pPr>
        <w:pStyle w:val="Heading1"/>
      </w:pPr>
      <w:r>
        <w:t>1. 项目目标、范围与边界</w:t>
      </w:r>
    </w:p>
    <w:p>
      <w:pPr>
        <w:pStyle w:val="Heading2"/>
      </w:pPr>
      <w:r>
        <w:t>1.1 业务目标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识别当前市场状态，并输出牛市、熊市、震荡及风格状态概率。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预测未来5日和20日沪深300、中证500、中证1000的相对强弱。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在相应股票池中生成ART-Rank评分、排名、主要贡献因子和风险标记。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生成受行业、市值、流动性、换手率约束的模拟组合。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保存每日预测快照，通过滚动样本外回测与模拟交易持续验证模型。</w:t>
      </w:r>
    </w:p>
    <w:p>
      <w:pPr>
        <w:pStyle w:val="Heading2"/>
      </w:pPr>
      <w:r>
        <w:t>1.2 第一版必须完成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4608"/>
        <w:gridCol w:w="3168"/>
      </w:tblGrid>
      <w:tr>
        <w:trPr>
          <w:tblHeader w:val="true"/>
        </w:trPr>
        <w:tc>
          <w:tcPr>
            <w:tcW w:type="dxa" w:w="158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60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第一版完成条件</w:t>
            </w:r>
          </w:p>
        </w:tc>
        <w:tc>
          <w:tcPr>
            <w:tcW w:type="dxa" w:w="316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暂不包含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</w:t>
            </w:r>
          </w:p>
        </w:tc>
        <w:tc>
          <w:tcPr>
            <w:tcW w:type="dxa" w:w="460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历史日频行情、复权、指数成分、财务PIT数据、基础因子</w:t>
            </w:r>
          </w:p>
        </w:tc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全市场逐笔成交与客户级内部数据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</w:t>
            </w:r>
          </w:p>
        </w:tc>
        <w:tc>
          <w:tcPr>
            <w:tcW w:type="dxa" w:w="460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HMM、TFT、PatchTST、LambdaRank可独立训练与推理</w:t>
            </w:r>
          </w:p>
        </w:tc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高频做市、强化学习下单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回测</w:t>
            </w:r>
          </w:p>
        </w:tc>
        <w:tc>
          <w:tcPr>
            <w:tcW w:type="dxa" w:w="460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真实成分股、T+1、停牌、涨跌停、费用和滑点</w:t>
            </w:r>
          </w:p>
        </w:tc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实盘成交回报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网站</w:t>
            </w:r>
          </w:p>
        </w:tc>
        <w:tc>
          <w:tcPr>
            <w:tcW w:type="dxa" w:w="460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总览、风格、排名、个股、组合、回测、监控</w:t>
            </w:r>
          </w:p>
        </w:tc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面对公众的付费荐股服务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运维</w:t>
            </w:r>
          </w:p>
        </w:tc>
        <w:tc>
          <w:tcPr>
            <w:tcW w:type="dxa" w:w="460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定时任务、日志、告警、模型版本、预测快照</w:t>
            </w:r>
          </w:p>
        </w:tc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跨地区高可用集群</w:t>
            </w:r>
          </w:p>
        </w:tc>
      </w:tr>
    </w:tbl>
    <w:p>
      <w:pPr>
        <w:spacing w:after="20"/>
      </w:pPr>
    </w:p>
    <w:p>
      <w:pPr>
        <w:pStyle w:val="Heading2"/>
      </w:pPr>
      <w:r>
        <w:t>1.3 明确不做的事情</w:t>
      </w:r>
    </w:p>
    <w:p>
      <w:r>
        <w:rPr>
          <w:rFonts w:ascii="Microsoft YaHei" w:hAnsi="Microsoft YaHei" w:eastAsia="Microsoft YaHei"/>
          <w:i w:val="0"/>
          <w:color w:val="1F2937"/>
        </w:rPr>
        <w:t>第一阶段不追求预测个股精确价格、不允许随机切分时间序列、不使用未来才公开的财务数据、不把中信内部成交明细复制到个人环境，也不以训练集准确率作为模型上线依据。</w:t>
      </w:r>
    </w:p>
    <w:p>
      <w:pPr>
        <w:pStyle w:val="Heading1"/>
      </w:pPr>
      <w:r>
        <w:t>2. 总体架构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3319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图1  ART-Rank Quant目标系统架构</w:t>
      </w:r>
    </w:p>
    <w:p>
      <w:pPr>
        <w:pStyle w:val="Heading2"/>
      </w:pPr>
      <w:r>
        <w:t>2.1 八个核心模块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4752"/>
        <w:gridCol w:w="3024"/>
      </w:tblGrid>
      <w:tr>
        <w:trPr>
          <w:tblHeader w:val="true"/>
        </w:trPr>
        <w:tc>
          <w:tcPr>
            <w:tcW w:type="dxa" w:w="158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75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302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主要产物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数据接入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从授权行情、指数、财务、公告和宏观源获取数据</w:t>
            </w:r>
          </w:p>
        </w:tc>
        <w:tc>
          <w:tcPr>
            <w:tcW w:type="dxa" w:w="30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原始分区文件、接入日志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数据质量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去重、类型校验、交易日对齐、复权、PIT可用时间检查</w:t>
            </w:r>
          </w:p>
        </w:tc>
        <w:tc>
          <w:tcPr>
            <w:tcW w:type="dxa" w:w="30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质量报告、隔离记录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特征库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计算量价、基本面、估值、流动性、风险和市场特征</w:t>
            </w:r>
          </w:p>
        </w:tc>
        <w:tc>
          <w:tcPr>
            <w:tcW w:type="dxa" w:w="30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带版本的特征快照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模型服务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训练和运行HMM、TFT、PatchTST、LambdaRank</w:t>
            </w:r>
          </w:p>
        </w:tc>
        <w:tc>
          <w:tcPr>
            <w:tcW w:type="dxa" w:w="30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模型文件、预测结果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组合与回测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构建约束组合并模拟真实交易规则</w:t>
            </w:r>
          </w:p>
        </w:tc>
        <w:tc>
          <w:tcPr>
            <w:tcW w:type="dxa" w:w="30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持仓、成交、净值与指标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API服务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向前端提供稳定、缓存后的查询接口</w:t>
            </w:r>
          </w:p>
        </w:tc>
        <w:tc>
          <w:tcPr>
            <w:tcW w:type="dxa" w:w="30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JSON响应、访问日志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前端网站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展示市场、预测、排名、组合、回测和模型健康度</w:t>
            </w:r>
          </w:p>
        </w:tc>
        <w:tc>
          <w:tcPr>
            <w:tcW w:type="dxa" w:w="30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可交互研究界面</w:t>
            </w:r>
          </w:p>
        </w:tc>
      </w:tr>
      <w:tr>
        <w:trPr>
          <w:trHeight w:hRule="atLeast"/>
        </w:trPr>
        <w:tc>
          <w:tcPr>
            <w:tcW w:type="dxa" w:w="15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监控审计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检查数据、模型漂移、任务失败和历史结果不可篡改</w:t>
            </w:r>
          </w:p>
        </w:tc>
        <w:tc>
          <w:tcPr>
            <w:tcW w:type="dxa" w:w="30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告警、审计与模型卡</w:t>
            </w:r>
          </w:p>
        </w:tc>
      </w:tr>
    </w:tbl>
    <w:p>
      <w:pPr>
        <w:spacing w:after="20"/>
      </w:pPr>
    </w:p>
    <w:p>
      <w:pPr>
        <w:pStyle w:val="Heading1"/>
      </w:pPr>
      <w:r>
        <w:t>3. 技术栈与环境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384"/>
        <w:gridCol w:w="4320"/>
      </w:tblGrid>
      <w:tr>
        <w:trPr>
          <w:tblHeader w:val="true"/>
        </w:trPr>
        <w:tc>
          <w:tcPr>
            <w:tcW w:type="dxa" w:w="165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338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正式版选择</w:t>
            </w:r>
          </w:p>
        </w:tc>
        <w:tc>
          <w:tcPr>
            <w:tcW w:type="dxa" w:w="432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选择理由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语言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Python 3.12、TypeScript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模型与数据生态成熟；前端类型安全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数据处理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Polars/Pandas、PyArrow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兼顾易用性、列式处理和Parquet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深度学习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PyTorch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实现TFT和PatchTST并支持GPU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传统模型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hmmlearn或自研HMM、LightGBM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市场状态与排序模型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数据库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PostgreSQL + TimescaleDB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结构化数据、时间序列和事务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训练存储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Parquet + 对象存储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低成本保存大规模训练快照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后端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FastAPI + Pydantic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接口清晰、自动生成OpenAPI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缓存/任务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Redis + Prefect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缓存最新结果并编排定时任务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前端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Next.js + React + TypeScript + ECharts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适合数据看板与交互图表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MLOps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MLflow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记录参数、指标、模型版本和产物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部署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Docker Compose；后续Kubernetes可选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先简单可复现，再按规模扩展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测试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pytest、Playwright、Ruff、mypy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覆盖数据、模型、API和页面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本地开发建议  </w:t>
      </w:r>
      <w:r>
        <w:rPr>
          <w:rFonts w:ascii="Microsoft YaHei" w:hAnsi="Microsoft YaHei" w:eastAsia="Microsoft YaHei"/>
          <w:color w:val="1F2937"/>
          <w:sz w:val="21"/>
        </w:rPr>
        <w:t>Mac M4可完成日频MVP和较小规模训练。全量3800只股票的TFT/PatchTST联合训练建议使用16GB以上显存的GPU；每日推理可在CPU或较小GPU上运行。</w:t>
      </w:r>
    </w:p>
    <w:p>
      <w:pPr>
        <w:pStyle w:val="Heading2"/>
      </w:pPr>
      <w:r>
        <w:t>3.1 开发环境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开发环境：本地Mac，Docker运行PostgreSQL、Redis、MLflow；Python虚拟环境运行模型。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训练环境：本地先用小股票池调通，正式全量训练切换到GPU服务器。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生产环境：前端、API、任务调度与模型推理解耦；训练任务不阻塞网站查询。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数据环境：研究数据与任何公司内部数据必须物理或权限隔离。</w:t>
      </w:r>
    </w:p>
    <w:p>
      <w:pPr>
        <w:pStyle w:val="Heading1"/>
      </w:pPr>
      <w:r>
        <w:t>4. 代码仓库与目录架构</w:t>
      </w:r>
    </w:p>
    <w:p>
      <w:r>
        <w:rPr>
          <w:rFonts w:ascii="Microsoft YaHei" w:hAnsi="Microsoft YaHei" w:eastAsia="Microsoft YaHei"/>
          <w:i w:val="0"/>
          <w:color w:val="1F2937"/>
        </w:rPr>
        <w:t>建议采用单体仓库（monorepo）。前端、后端、模型、数据流程和基础设施共同版本管理，但运行时按服务拆分。</w:t>
      </w:r>
    </w:p>
    <w:p>
      <w:pPr>
        <w:pStyle w:val="CodeBlock"/>
        <w:shd w:fill="F2F4F7" w:val="clear"/>
      </w:pPr>
      <w:r>
        <w:rPr>
          <w:rFonts w:ascii="DejaVu Sans Mono" w:hAnsi="DejaVu Sans Mono" w:eastAsia="DejaVu Sans Mono"/>
          <w:color w:val="1F2937"/>
          <w:sz w:val="16"/>
        </w:rPr>
        <w:t>art-rank-quant/</w:t>
        <w:br/>
        <w:t>├── README.md                 # 项目入口、快速启动与架构说明</w:t>
        <w:br/>
        <w:t>├── pyproject.toml            # Python依赖、格式化、测试配置</w:t>
        <w:br/>
        <w:t>├── package.json              # 前端命令入口</w:t>
        <w:br/>
        <w:t>├── .env.example              # 环境变量模板，不包含真实密钥</w:t>
        <w:br/>
        <w:t>├── docker-compose.yml        # 本地数据库、Redis、MLflow和服务</w:t>
        <w:br/>
        <w:t>├── Makefile                  # 统一开发命令</w:t>
        <w:br/>
        <w:t>├── configs/                  # 数据、特征、模型、组合与日志配置</w:t>
        <w:br/>
        <w:t>├── migrations/               # PostgreSQL数据库迁移</w:t>
        <w:br/>
        <w:t>├── src/art_rank/</w:t>
        <w:br/>
        <w:t>│   ├── common/               # 配置、日期、日志、类型、异常</w:t>
        <w:br/>
        <w:t>│   ├── data/                 # 数据客户端、接入、校验、仓储</w:t>
        <w:br/>
        <w:t>│   ├── features/             # 标签、因子、中性化、特征库</w:t>
        <w:br/>
        <w:t>│   ├── models/               # HMM、TFT、PatchTST、Ranker、集成</w:t>
        <w:br/>
        <w:t>│   ├── portfolio/            # 股票池、约束、风险、优化、调仓</w:t>
        <w:br/>
        <w:t>│   ├── backtest/             # 回测引擎、成交、费用、指标、报告</w:t>
        <w:br/>
        <w:t>│   ├── pipelines/            # 日更、训练、回填、月度验证</w:t>
        <w:br/>
        <w:t>│   ├── monitoring/           # 数据漂移、模型表现、告警</w:t>
        <w:br/>
        <w:t>│   └── api/                  # FastAPI路由、Schema和服务</w:t>
        <w:br/>
        <w:t>├── frontend/                 # Next.js网站</w:t>
        <w:br/>
        <w:t>├── tests/                    # 单元、集成、回归和端到端测试</w:t>
        <w:br/>
        <w:t>├── scripts/                  # 运维和一次性命令入口</w:t>
        <w:br/>
        <w:t>├── infra/                    # Dockerfile、Nginx、部署清单</w:t>
        <w:br/>
        <w:t>├── docs/                     # 数据字典、模型卡、API、运行手册</w:t>
        <w:br/>
        <w:t>└── artifacts/                # 本地开发产物；生产环境改为对象存储</w:t>
      </w: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命名规则  </w:t>
      </w:r>
      <w:r>
        <w:rPr>
          <w:rFonts w:ascii="Microsoft YaHei" w:hAnsi="Microsoft YaHei" w:eastAsia="Microsoft YaHei"/>
          <w:color w:val="1F2937"/>
          <w:sz w:val="21"/>
        </w:rPr>
        <w:t>Python文件使用snake_case；类名使用PascalCase；数据库表和字段使用snake_case；所有模型、特征和预测必须带version字段。</w:t>
      </w:r>
    </w:p>
    <w:p>
      <w:pPr>
        <w:pStyle w:val="Heading1"/>
      </w:pPr>
      <w:r>
        <w:t>5. 根目录、配置与文档文件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36"/>
        <w:gridCol w:w="4176"/>
        <w:gridCol w:w="2448"/>
      </w:tblGrid>
      <w:tr>
        <w:trPr>
          <w:tblHeader w:val="true"/>
        </w:trPr>
        <w:tc>
          <w:tcPr>
            <w:tcW w:type="dxa" w:w="273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417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具体职责</w:t>
            </w:r>
          </w:p>
        </w:tc>
        <w:tc>
          <w:tcPr>
            <w:tcW w:type="dxa" w:w="244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完成标准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README.md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说明项目目标、架构、启动方式、常用命令和风险边界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任何新成员30分钟内完成本地启动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pyproject.toml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锁定Python依赖并配置Ruff、mypy、pytest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可重复安装和统一代码规范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package.json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定义前端dev/build/test/lint命令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前端命令统一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.env.example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列出数据库、Redis、数据源、MLflow等变量名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不写真实token和密码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docker-compose.yml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启动postgres、redis、mlflow、api、frontend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一条命令启动本地环境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Makefile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封装init、test、backfill、train、daily、serve等命令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减少手工操作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.gitignore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排除密钥、原始数据、模型权重、缓存和本地日志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避免敏感或大文件入库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.pre-commit-config.yaml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提交前自动格式化、静态检查和密钥扫描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阻止低质量提交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docs/data_dictionary.md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记录每张表和每个字段定义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数据口径唯一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docs/model_card.md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记录目标、训练区间、特征、限制和已知风险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每个上线模型可审计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docs/api.md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记录API输入、输出、错误码和示例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前后端协作依据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docs/runbook.md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记录任务失败、数据延迟、回滚和重跑流程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运维可执行</w:t>
            </w:r>
          </w:p>
        </w:tc>
      </w:tr>
      <w:tr>
        <w:trPr>
          <w:trHeight w:hRule="atLeast"/>
        </w:trPr>
        <w:tc>
          <w:tcPr>
            <w:tcW w:type="dxa" w:w="273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docs/compliance.md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记录数据授权、内部数据边界和对外发布限制</w:t>
            </w:r>
          </w:p>
        </w:tc>
        <w:tc>
          <w:tcPr>
            <w:tcW w:type="dxa" w:w="244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使用前完成合规检查</w:t>
            </w:r>
          </w:p>
        </w:tc>
      </w:tr>
    </w:tbl>
    <w:p>
      <w:pPr>
        <w:spacing w:after="20"/>
      </w:pPr>
    </w:p>
    <w:p>
      <w:pPr>
        <w:pStyle w:val="Heading2"/>
      </w:pPr>
      <w:r>
        <w:t>5.1 配置文件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619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配置内容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configs/base.yaml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环境、时区、交易日、全局随机种子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configs/data_sources.yaml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数据源地址、数据集名称、延迟与优先级；密钥只引用环境变量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configs/features.yaml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因子清单、窗口、缩尾、标准化和中性化规则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configs/model_hmm.yaml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状态数候选、训练窗口、特征和选择标准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configs/model_tft.yaml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编码长度、预测周期、隐藏层、损失函数和训练参数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configs/model_patchtst.yaml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序列长度、patch大小、stride、通道和embedding维度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configs/model_ranker.yaml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LightGBM排序参数、group字段、标签和特征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configs/ensemble.yaml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模型权重、Rank IC窗口、平滑参数和上下限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configs/portfolio.yaml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持仓数、个股/行业上限、换手和流动性约束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configs/backtest.yaml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费用、滑点、T+1、涨跌停和成交规则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configs/logging.yaml</w:t>
            </w:r>
          </w:p>
        </w:tc>
        <w:tc>
          <w:tcPr>
            <w:tcW w:type="dxa" w:w="619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日志级别、结构化字段、文件轮转和敏感字段遮蔽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数据工程：需要创建的文件</w:t>
      </w:r>
    </w:p>
    <w:p>
      <w:r>
        <w:rPr>
          <w:rFonts w:ascii="Microsoft YaHei" w:hAnsi="Microsoft YaHei" w:eastAsia="Microsoft YaHei"/>
          <w:i w:val="0"/>
          <w:color w:val="1F2937"/>
        </w:rPr>
        <w:t>数据层是项目优先级最高的部分。每个数据客户端只负责获取和解析；质量校验、复权、PIT对齐和落库必须由独立模块完成，避免把复杂逻辑隐藏在一个脚本中。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28"/>
        <w:gridCol w:w="4104"/>
        <w:gridCol w:w="1728"/>
      </w:tblGrid>
      <w:tr>
        <w:trPr>
          <w:tblHeader w:val="true"/>
        </w:trPr>
        <w:tc>
          <w:tcPr>
            <w:tcW w:type="dxa" w:w="352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410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处理内容</w:t>
            </w:r>
          </w:p>
        </w:tc>
        <w:tc>
          <w:tcPr>
            <w:tcW w:type="dxa" w:w="172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主要输出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common/config.py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读取YAML和环境变量，生成类型化配置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全系统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common/calendar.py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A股交易日、前后交易日和预测窗口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数据/模型/回测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common/logging.py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结构化日志和任务run_id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全系统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common/types.py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Symbol、TradeDate、ModelVersion等公共类型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全系统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data/clients/base.py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统一数据客户端接口、重试、限速和错误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所有数据源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data/clients/market.py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获取个股和指数行情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stock_daily/index_daily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data/clients/index.py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获取历史指数成分和权重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index_members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data/clients/fundamentals.py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获取财务、估值和公告日期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fundamentals_pit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data/clients/macro.py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获取利率、汇率和宏观数据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macro_daily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data/clients/announcements.py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获取公告元数据和事件标签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announcements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data/ingestion/market_ingestor.py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增量获取日频行情并写原始层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raw/market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data/ingestion/fundamental_ingestor.py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按公告日增量获取财务数据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raw/fundamental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data/ingestion/index_ingestor.py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维护历史成分，不只保存当前成分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raw/index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data/ingestion/macro_ingestor.py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维护发布日期和修订版本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raw/macro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data/validation/schemas.py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定义字段类型、主键和允许范围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质量校验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data/validation/quality_checks.py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重复、缺失、跳点、交易日和价格关系检查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质量报告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data/validation/quarantine.py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隔离失败记录，不直接删除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quarantine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data/processing/adjust_prices.py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生成前复权/后复权价格并保留原始价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processed/price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data/processing/align_pit.py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按available_time对齐财务和宏观数据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PIT数据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data/processing/universe_history.py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生成每个交易日可投资股票池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universe_daily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data/repositories/market_repo.py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行情查询和写入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数据库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data/repositories/feature_repo.py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特征读写与版本查询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特征库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data/repositories/prediction_repo.py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预测快照只追加不覆盖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预测库</w:t>
            </w:r>
          </w:p>
        </w:tc>
      </w:tr>
    </w:tbl>
    <w:p>
      <w:pPr>
        <w:spacing w:after="20"/>
      </w:pPr>
    </w:p>
    <w:p>
      <w:pPr>
        <w:pStyle w:val="Heading2"/>
      </w:pPr>
      <w:r>
        <w:t>6.1 数据处理流程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以trade_date和symbol为主键获取原始数据，并保存source、ingested_at和原始响应版本。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运行Schema校验：类型、非空字段、价格关系、重复记录、交易日完整性。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失败记录写入quarantine并触发告警；通过记录进入processed层。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复权时同时保留原始价格和adjust_factor，避免回测与展示口径混淆。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财务和宏观数据按照available_time对齐，训练时只能看到当时已公开信息。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计算每日可投资股票池，处理上市、退市、停牌、ST、指数成分和流动性。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写入数据库并生成不可变Parquet快照，附data_version和校验摘要。</w:t>
      </w:r>
    </w:p>
    <w:p>
      <w:pPr>
        <w:pStyle w:val="Heading1"/>
      </w:pPr>
      <w:r>
        <w:t>7. 特征工程：需要创建的文件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612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具体职责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features/labels.py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生成未来5日/20日指数相对收益和个股超额收益标签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features/market_features.py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指数动量、波动率、宽度、成交额、ETF流、期货基差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features/price_volume.py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个股动量、反转、波动率、量价相关和成交异常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features/fundamental.py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ROE、增长、现金流、杠杆和盈利质量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features/valuation.py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PE、PB、PS、股息率和行业相对估值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features/liquidity.py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成交额、换手率、Amihud和可交易容量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features/risk.py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Beta、残差波动、市值、行业和风险暴露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features/preprocess.py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缺失处理、MAD缩尾、横截面标准化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features/neutralize.py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行业和市值中性化，保存回归残差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features/materialize.py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按日期批量计算并写入特征库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features/feature_registry.py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管理feature_name、version、owner和依赖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防泄露要求  </w:t>
      </w:r>
      <w:r>
        <w:rPr>
          <w:rFonts w:ascii="Microsoft YaHei" w:hAnsi="Microsoft YaHei" w:eastAsia="Microsoft YaHei"/>
          <w:color w:val="1F2937"/>
          <w:sz w:val="21"/>
        </w:rPr>
        <w:t>所有特征同时保存event_time和available_time。标签只在训练数据构建阶段生成，不得进入线上推理输入。标准化和中性化参数按训练期或当日横截面计算，不能使用未来日期。</w:t>
      </w:r>
    </w:p>
    <w:p>
      <w:pPr>
        <w:pStyle w:val="Heading2"/>
      </w:pPr>
      <w:r>
        <w:t>7.1 第一版因子清单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760"/>
        <w:gridCol w:w="1800"/>
      </w:tblGrid>
      <w:tr>
        <w:trPr>
          <w:tblHeader w:val="true"/>
        </w:trPr>
        <w:tc>
          <w:tcPr>
            <w:tcW w:type="dxa" w:w="180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因子组</w:t>
            </w:r>
          </w:p>
        </w:tc>
        <w:tc>
          <w:tcPr>
            <w:tcW w:type="dxa" w:w="576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建议变量</w:t>
            </w:r>
          </w:p>
        </w:tc>
        <w:tc>
          <w:tcPr>
            <w:tcW w:type="dxa" w:w="180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频率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市场趋势</w:t>
            </w:r>
          </w:p>
        </w:tc>
        <w:tc>
          <w:tcPr>
            <w:tcW w:type="dxa" w:w="57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指数5/20/60日动量、均线距离、突破位置</w:t>
            </w:r>
          </w:p>
        </w:tc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日频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市场风险</w:t>
            </w:r>
          </w:p>
        </w:tc>
        <w:tc>
          <w:tcPr>
            <w:tcW w:type="dxa" w:w="57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20/60日波动率、下行波动、横截面分散度</w:t>
            </w:r>
          </w:p>
        </w:tc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日频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市场宽度</w:t>
            </w:r>
          </w:p>
        </w:tc>
        <w:tc>
          <w:tcPr>
            <w:tcW w:type="dxa" w:w="57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上涨占比、新高新低、涨跌停数量</w:t>
            </w:r>
          </w:p>
        </w:tc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日频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资金与流动性</w:t>
            </w:r>
          </w:p>
        </w:tc>
        <w:tc>
          <w:tcPr>
            <w:tcW w:type="dxa" w:w="57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成交额、换手、ETF流、融资余额、期货基差</w:t>
            </w:r>
          </w:p>
        </w:tc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日频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个股量价</w:t>
            </w:r>
          </w:p>
        </w:tc>
        <w:tc>
          <w:tcPr>
            <w:tcW w:type="dxa" w:w="57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动量、反转、量比、波动、Amihud</w:t>
            </w:r>
          </w:p>
        </w:tc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日频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基本面</w:t>
            </w:r>
          </w:p>
        </w:tc>
        <w:tc>
          <w:tcPr>
            <w:tcW w:type="dxa" w:w="57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ROE、收入/利润增长、现金流、杠杆</w:t>
            </w:r>
          </w:p>
        </w:tc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公告后更新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估值</w:t>
            </w:r>
          </w:p>
        </w:tc>
        <w:tc>
          <w:tcPr>
            <w:tcW w:type="dxa" w:w="57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PE、PB、PS、股息率、行业分位数</w:t>
            </w:r>
          </w:p>
        </w:tc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日频/公告后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风险暴露</w:t>
            </w:r>
          </w:p>
        </w:tc>
        <w:tc>
          <w:tcPr>
            <w:tcW w:type="dxa" w:w="57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Beta、市值、行业、残差波动</w:t>
            </w:r>
          </w:p>
        </w:tc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日频</w:t>
            </w:r>
          </w:p>
        </w:tc>
      </w:tr>
    </w:tbl>
    <w:p>
      <w:pPr>
        <w:spacing w:after="20"/>
      </w:pPr>
    </w:p>
    <w:p>
      <w:pPr>
        <w:pStyle w:val="Heading1"/>
      </w:pPr>
      <w:r>
        <w:t>8. ART-Rank模型实现文件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3319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图2  ART-Rank模型训练与推理链路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72"/>
        <w:gridCol w:w="4464"/>
        <w:gridCol w:w="1224"/>
      </w:tblGrid>
      <w:tr>
        <w:trPr>
          <w:tblHeader w:val="true"/>
        </w:trPr>
        <w:tc>
          <w:tcPr>
            <w:tcW w:type="dxa" w:w="367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446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具体职责</w:t>
            </w:r>
          </w:p>
        </w:tc>
        <w:tc>
          <w:tcPr>
            <w:tcW w:type="dxa" w:w="122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模块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models/base.py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统一fit、predict、save、load、metadata接口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所有模型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models/registry.py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模型版本、阶段、指标和产物路径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模型管理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models/hmm/dataset.py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构造市场状态特征矩阵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models/hmm/model.py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高斯HMM与状态重标记逻辑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models/hmm/train.py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按BIC/稳定性选择状态数并训练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models/hmm/infer.py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输出状态概率和当前状态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models/tft/dataset.py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构造多指数多变量序列与静态/已知/未知变量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TFT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models/tft/model.py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TFT网络、损失和多周期输出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TFT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models/tft/train.py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训练、早停、checkpoint和指标记录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TFT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models/tft/infer.py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输出5日/20日收益、概率与区间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TFT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models/patchtst/dataset.py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按股票构造120日序列和mask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PatchTST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models/patchtst/model.py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Patch编码器和temporal embedding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PatchTST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models/patchtst/train.py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跨股票训练与时间切分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PatchTST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models/patchtst/infer.py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生成每只股票的时序embedding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PatchTST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models/ranker/dataset.py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拼接时序embedding与横截面因子，按日期分组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Ranker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models/ranker/model.py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LightGBM LambdaRank封装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Ranker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models/ranker/train.py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滚动训练、特征重要性和NDCG/Rank IC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Ranker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models/ranker/infer.py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生成ART分数、排名和置信度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Ranker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models/ensemble/dynamic_weights.py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按滚动样本外Rank IC更新模型权重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集成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models/ensemble/score.py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合成最终风格与个股评分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集成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models/explain/shap_service.py</w:t>
            </w:r>
          </w:p>
        </w:tc>
        <w:tc>
          <w:tcPr>
            <w:tcW w:type="dxa" w:w="44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生成个股主要正负贡献因子</w:t>
            </w:r>
          </w:p>
        </w:tc>
        <w:tc>
          <w:tcPr>
            <w:tcW w:type="dxa" w:w="122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解释</w:t>
            </w:r>
          </w:p>
        </w:tc>
      </w:tr>
    </w:tbl>
    <w:p>
      <w:pPr>
        <w:spacing w:after="20"/>
      </w:pPr>
    </w:p>
    <w:p>
      <w:pPr>
        <w:pStyle w:val="Heading2"/>
      </w:pPr>
      <w:r>
        <w:t>8.1 初始模型配置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4176"/>
        <w:gridCol w:w="1872"/>
        <w:gridCol w:w="1872"/>
      </w:tblGrid>
      <w:tr>
        <w:trPr>
          <w:tblHeader w:val="true"/>
        </w:trPr>
        <w:tc>
          <w:tcPr>
            <w:tcW w:type="dxa" w:w="144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模型</w:t>
            </w:r>
          </w:p>
        </w:tc>
        <w:tc>
          <w:tcPr>
            <w:tcW w:type="dxa" w:w="417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初始配置</w:t>
            </w:r>
          </w:p>
        </w:tc>
        <w:tc>
          <w:tcPr>
            <w:tcW w:type="dxa" w:w="187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主要输出</w:t>
            </w:r>
          </w:p>
        </w:tc>
        <w:tc>
          <w:tcPr>
            <w:tcW w:type="dxa" w:w="187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选择依据</w:t>
            </w:r>
          </w:p>
        </w:tc>
      </w:tr>
      <w:tr>
        <w:trPr>
          <w:trHeight w:hRule="atLeast"/>
        </w:trPr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4—6个状态候选；3—5年滚动窗口；按BIC与状态稳定性选择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state_id、state_prob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状态可解释且不过度碎片化</w:t>
            </w:r>
          </w:p>
        </w:tc>
      </w:tr>
      <w:tr>
        <w:trPr>
          <w:trHeight w:hRule="atLeast"/>
        </w:trPr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TFT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encoder 60/120日；horizon 5/20日；Quantile Loss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指数收益、概率、区间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多变量、多周期、非线性</w:t>
            </w:r>
          </w:p>
        </w:tc>
      </w:tr>
      <w:tr>
        <w:trPr>
          <w:trHeight w:hRule="atLeast"/>
        </w:trPr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PatchTST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sequence 120日；patch 10；stride 5；embedding 64/128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个股时序向量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捕捉局部与长期模式</w:t>
            </w:r>
          </w:p>
        </w:tc>
      </w:tr>
      <w:tr>
        <w:trPr>
          <w:trHeight w:hRule="atLeast"/>
        </w:trPr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LambdaRank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group=trade_date；label=未来5日超额收益分桶/连续排序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ART score、rank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直接优化横截面排序</w:t>
            </w:r>
          </w:p>
        </w:tc>
      </w:tr>
      <w:tr>
        <w:trPr>
          <w:trHeight w:hRule="atLeast"/>
        </w:trPr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动态集成</w:t>
            </w:r>
          </w:p>
        </w:tc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Rank IC窗口60日；指数平滑；单模型权重设上下限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final_score</w:t>
            </w:r>
          </w:p>
        </w:tc>
        <w:tc>
          <w:tcPr>
            <w:tcW w:type="dxa" w:w="18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避免单模型短期失效</w:t>
            </w:r>
          </w:p>
        </w:tc>
      </w:tr>
    </w:tbl>
    <w:p>
      <w:pPr>
        <w:spacing w:after="20"/>
      </w:pPr>
    </w:p>
    <w:p>
      <w:pPr>
        <w:pStyle w:val="Heading2"/>
      </w:pPr>
      <w:r>
        <w:t>8.2 训练切分</w:t>
      </w:r>
    </w:p>
    <w:p>
      <w:r>
        <w:rPr>
          <w:rFonts w:ascii="Microsoft YaHei" w:hAnsi="Microsoft YaHei" w:eastAsia="Microsoft YaHei"/>
          <w:i w:val="0"/>
          <w:color w:val="1F2937"/>
        </w:rPr>
        <w:t>模型采用扩展窗口或滚动窗口，不允许随机拆分。示例：使用过去3—5年训练、后续6个月验证、再预测下一个月；窗口向前滚动。标签为未来5日时，训练集与验证集之间至少设置5个交易日的embargo，避免标签重叠泄露。</w:t>
      </w:r>
    </w:p>
    <w:p>
      <w:pPr>
        <w:pStyle w:val="CodeBlock"/>
        <w:shd w:fill="F2F4F7" w:val="clear"/>
      </w:pPr>
      <w:r>
        <w:rPr>
          <w:rFonts w:ascii="DejaVu Sans Mono" w:hAnsi="DejaVu Sans Mono" w:eastAsia="DejaVu Sans Mono"/>
          <w:color w:val="1F2937"/>
          <w:sz w:val="16"/>
        </w:rPr>
        <w:t>Train: [t-5y, t-6m-embargo]</w:t>
        <w:br/>
        <w:t>Validation: [t-6m, t-1d]</w:t>
        <w:br/>
        <w:t>Test/Live: [t, t+1m]</w:t>
        <w:br/>
        <w:t>Repeat with expanding or rolling window</w:t>
      </w:r>
    </w:p>
    <w:p>
      <w:pPr>
        <w:pStyle w:val="Heading1"/>
      </w:pPr>
      <w:r>
        <w:t>9. 组合优化与回测文件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612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具体职责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portfolio/universe.py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生成当日可投资股票池并记录排除原因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portfolio/constraints.py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个股、行业、市值、流动性、换手率和Beta约束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portfolio/risk_model.py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协方差、因子暴露和边际风险贡献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portfolio/optimizer.py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最大化预测Alpha，惩罚风险和换手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portfolio/rebalance.py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比较目标与当前持仓，生成模拟调仓单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portfolio/risk_checks.py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调仓前后限制检查和拒绝原因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backtest/engine.py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按交易日驱动数据、信号、订单、成交和净值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backtest/execution.py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模拟T+1、停牌、涨跌停和成交容量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backtest/costs.py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配置化手续费、税费、滑点和冲击成本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backtest/metrics.py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收益、超额、Sharpe、回撤、IR、换手、容量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backtest/attribution.py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行业、风格、因子和选股收益归因</w:t>
            </w:r>
          </w:p>
        </w:tc>
      </w:tr>
      <w:tr>
        <w:trPr>
          <w:trHeight w:hRule="atLeast"/>
        </w:trPr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backtest/report.py</w:t>
            </w:r>
          </w:p>
        </w:tc>
        <w:tc>
          <w:tcPr>
            <w:tcW w:type="dxa" w:w="61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生成可供API和文档使用的回测摘要</w:t>
            </w:r>
          </w:p>
        </w:tc>
      </w:tr>
    </w:tbl>
    <w:p>
      <w:pPr>
        <w:spacing w:after="20"/>
      </w:pPr>
    </w:p>
    <w:p>
      <w:pPr>
        <w:pStyle w:val="Heading2"/>
      </w:pPr>
      <w:r>
        <w:t>9.1 优化目标与默认约束</w:t>
      </w:r>
    </w:p>
    <w:p>
      <w:r>
        <w:rPr>
          <w:rFonts w:ascii="Microsoft YaHei" w:hAnsi="Microsoft YaHei" w:eastAsia="Microsoft YaHei"/>
          <w:i w:val="0"/>
          <w:color w:val="1F2937"/>
        </w:rPr>
        <w:t>优化目标为：在模型预测Alpha较高的前提下，降低组合风险和不必要换手。</w:t>
      </w:r>
    </w:p>
    <w:p>
      <w:pPr>
        <w:jc w:val="center"/>
      </w:pPr>
      <w:r>
        <w:rPr>
          <w:rFonts w:ascii="Cambria Math" w:hAnsi="Cambria Math" w:eastAsia="Cambria Math"/>
          <w:b/>
          <w:color w:val="17365D"/>
          <w:sz w:val="26"/>
        </w:rPr>
        <w:t>max  α̂ᵀw − λwᵀΣw − γΣ|w − w_prev|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约束</w:t>
            </w:r>
          </w:p>
        </w:tc>
        <w:tc>
          <w:tcPr>
            <w:tcW w:type="dxa" w:w="712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第一版建议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持仓数量</w:t>
            </w:r>
          </w:p>
        </w:tc>
        <w:tc>
          <w:tcPr>
            <w:tcW w:type="dxa" w:w="71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30—50只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单只股票上限</w:t>
            </w:r>
          </w:p>
        </w:tc>
        <w:tc>
          <w:tcPr>
            <w:tcW w:type="dxa" w:w="71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5%，并受流动性容量约束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单一行业上限</w:t>
            </w:r>
          </w:p>
        </w:tc>
        <w:tc>
          <w:tcPr>
            <w:tcW w:type="dxa" w:w="71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25%，或相对基准设置偏离上限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换手率</w:t>
            </w:r>
          </w:p>
        </w:tc>
        <w:tc>
          <w:tcPr>
            <w:tcW w:type="dxa" w:w="71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设置每次调仓和月度上限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可交易性</w:t>
            </w:r>
          </w:p>
        </w:tc>
        <w:tc>
          <w:tcPr>
            <w:tcW w:type="dxa" w:w="71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剔除ST、停牌、上市时间过短和流动性不足标的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风格暴露</w:t>
            </w:r>
          </w:p>
        </w:tc>
        <w:tc>
          <w:tcPr>
            <w:tcW w:type="dxa" w:w="71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控制市值、Beta和行业暴露，避免把风格押注误当Alpha</w:t>
            </w:r>
          </w:p>
        </w:tc>
      </w:tr>
    </w:tbl>
    <w:p>
      <w:pPr>
        <w:spacing w:after="20"/>
      </w:pPr>
    </w:p>
    <w:p>
      <w:pPr>
        <w:pStyle w:val="Heading1"/>
      </w:pPr>
      <w:r>
        <w:t>10. 数据库表设计</w:t>
      </w:r>
    </w:p>
    <w:p>
      <w:r>
        <w:rPr>
          <w:rFonts w:ascii="Microsoft YaHei" w:hAnsi="Microsoft YaHei" w:eastAsia="Microsoft YaHei"/>
          <w:i w:val="0"/>
          <w:color w:val="1F2937"/>
        </w:rPr>
        <w:t>数据库保存可查询的业务结果；大规模训练数据保存为不可变Parquet快照。所有时间敏感表至少包含event_time、available_time、created_at和version。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2952"/>
        <w:gridCol w:w="4104"/>
      </w:tblGrid>
      <w:tr>
        <w:trPr>
          <w:tblHeader w:val="true"/>
        </w:trPr>
        <w:tc>
          <w:tcPr>
            <w:tcW w:type="dxa" w:w="230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数据表</w:t>
            </w:r>
          </w:p>
        </w:tc>
        <w:tc>
          <w:tcPr>
            <w:tcW w:type="dxa" w:w="295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主键/唯一键</w:t>
            </w:r>
          </w:p>
        </w:tc>
        <w:tc>
          <w:tcPr>
            <w:tcW w:type="dxa" w:w="410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主要字段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stock_daily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trade_date, symbol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OHLCV、成交额、复权因子、交易状态、source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index_daily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trade_date, index_code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指数行情、估值、成交额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index_members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effective_date, index_code, symbol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历史成分、权重、调入调出日期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fundamentals_pit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symbol, report_period, available_time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财务指标、公告日、修订版本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macro_pit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series_id, available_time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宏观值、发布日期、修订值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universe_daily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trade_date, symbol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是否可投资、所属指数、排除原因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features_daily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trade_date, symbol, feature_version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因子值、可用时间、质量标记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market_regimes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trade_date, model_version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HMM状态及各状态概率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style_forecasts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as_of_date, horizon, model_version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指数预测收益、概率和区间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stock_scores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as_of_date, symbol, model_version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ART分数、排名、解释和置信度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portfolio_positions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portfolio_id, trade_date, symbol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目标/实际权重、成本、状态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backtest_runs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run_id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配置、数据版本、模型版本、指标和产物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model_registry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model_name, model_version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状态、训练区间、指标、文件校验值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pipeline_runs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run_id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任务状态、开始结束时间、重试和错误</w:t>
            </w:r>
          </w:p>
        </w:tc>
      </w:tr>
      <w:tr>
        <w:trPr>
          <w:trHeight w:hRule="atLeast"/>
        </w:trPr>
        <w:tc>
          <w:tcPr>
            <w:tcW w:type="dxa" w:w="23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audit_logs</w:t>
            </w:r>
          </w:p>
        </w:tc>
        <w:tc>
          <w:tcPr>
            <w:tcW w:type="dxa" w:w="29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audit_id</w:t>
            </w:r>
          </w:p>
        </w:tc>
        <w:tc>
          <w:tcPr>
            <w:tcW w:type="dxa" w:w="410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用户、动作、对象、时间和结果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关键约束  </w:t>
      </w:r>
      <w:r>
        <w:rPr>
          <w:rFonts w:ascii="Microsoft YaHei" w:hAnsi="Microsoft YaHei" w:eastAsia="Microsoft YaHei"/>
          <w:color w:val="1F2937"/>
          <w:sz w:val="21"/>
        </w:rPr>
        <w:t>stock_scores、style_forecasts和portfolio_positions按as_of_date与model_version追加写入。重新训练后不得覆盖旧结果；修正只能生成新版本。</w:t>
      </w:r>
    </w:p>
    <w:p>
      <w:pPr>
        <w:pStyle w:val="Heading1"/>
      </w:pPr>
      <w:r>
        <w:t>11. 后端API文件与接口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568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具体职责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api/main.py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创建FastAPI应用、生命周期和中间件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api/dependencies.py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数据库、缓存、权限和service依赖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api/routers/market.py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市场总览与市场状态接口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api/routers/style.py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5日/20日风格预测接口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api/routers/stocks.py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股票排名、筛选和个股详情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api/routers/portfolio.py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模拟组合、持仓和调仓历史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api/routers/backtest.py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回测列表、指标、曲线和归因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api/routers/models.py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模型版本、指标和健康度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api/routers/system.py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数据新鲜度、任务状态和告警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api/schemas/*.py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Pydantic请求/响应结构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api/services/*.py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业务查询、缓存和结果拼装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api/middleware/request_id.py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为每次请求生成request_id</w:t>
            </w:r>
          </w:p>
        </w:tc>
      </w:tr>
      <w:tr>
        <w:trPr>
          <w:trHeight w:hRule="atLeast"/>
        </w:trPr>
        <w:tc>
          <w:tcPr>
            <w:tcW w:type="dxa" w:w="36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api/middleware/error_handler.py</w:t>
            </w:r>
          </w:p>
        </w:tc>
        <w:tc>
          <w:tcPr>
            <w:tcW w:type="dxa" w:w="56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统一错误码并隐藏内部异常</w:t>
            </w:r>
          </w:p>
        </w:tc>
      </w:tr>
    </w:tbl>
    <w:p>
      <w:pPr>
        <w:spacing w:after="20"/>
      </w:pPr>
    </w:p>
    <w:p>
      <w:pPr>
        <w:pStyle w:val="Heading2"/>
      </w:pPr>
      <w:r>
        <w:t>11.1 第一版API清单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032"/>
        <w:gridCol w:w="5328"/>
      </w:tblGrid>
      <w:tr>
        <w:trPr>
          <w:tblHeader w:val="true"/>
        </w:trPr>
        <w:tc>
          <w:tcPr>
            <w:tcW w:type="dxa" w:w="403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接口</w:t>
            </w:r>
          </w:p>
        </w:tc>
        <w:tc>
          <w:tcPr>
            <w:tcW w:type="dxa" w:w="532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返回内容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/api/v1/market/overview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市场行情、宽度、成交额和数据时间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/api/v1/market/regime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HMM状态、概率和历史区间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/api/v1/style/forecast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按horizon返回风格概率、收益和驱动因素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/api/v1/stocks/rankings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分页、指数/行业/评分筛选的股票排名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/api/v1/stocks/{symbol}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个股行情、因子、评分、解释与风险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/api/v1/portfolio/current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当前模拟持仓、暴露和风险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/api/v1/portfolio/history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调仓和历史持仓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/api/v1/backtests/{run_id}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回测指标、净值、回撤和归因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/api/v1/models/health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版本、Rank IC、漂移和训练时间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GET /api/v1/system/status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数据、任务、缓存和服务健康度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接口原则  </w:t>
      </w:r>
      <w:r>
        <w:rPr>
          <w:rFonts w:ascii="Microsoft YaHei" w:hAnsi="Microsoft YaHei" w:eastAsia="Microsoft YaHei"/>
          <w:color w:val="1F2937"/>
          <w:sz w:val="21"/>
        </w:rPr>
        <w:t>前端不得直接读取模型文件或数据库。API只返回已经持久化并通过质量检查的结果；最新结果使用Redis缓存，历史结果从PostgreSQL读取。</w:t>
      </w:r>
    </w:p>
    <w:p>
      <w:pPr>
        <w:pStyle w:val="Heading1"/>
      </w:pPr>
      <w:r>
        <w:t>12. 前端网站文件与页面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176"/>
        <w:gridCol w:w="5184"/>
      </w:tblGrid>
      <w:tr>
        <w:trPr>
          <w:tblHeader w:val="true"/>
        </w:trPr>
        <w:tc>
          <w:tcPr>
            <w:tcW w:type="dxa" w:w="417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518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具体职责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frontend/app/layout.tsx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全局布局、导航、主题和元数据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frontend/app/page.tsx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市场总览首页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frontend/app/regime/page.tsx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HMM市场状态页面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frontend/app/style/page.tsx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大中小盘预测页面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frontend/app/stocks/page.tsx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股票排名与筛选页面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frontend/app/stocks/[symbol]/page.tsx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个股模型详情页面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frontend/app/portfolio/page.tsx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模拟组合和风险页面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frontend/app/backtest/page.tsx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回测曲线、指标和归因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frontend/app/monitoring/page.tsx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模型与数据健康度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frontend/components/KpiCard.tsx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统一指标卡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frontend/components/StyleProbability.tsx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风格概率图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frontend/components/RankingTable.tsx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可排序、筛选的股票表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frontend/components/FactorContribution.tsx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SHAP因子贡献图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frontend/components/EquityCurve.tsx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净值与基准曲线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frontend/components/DrawdownChart.tsx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回撤图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frontend/lib/api.ts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封装API请求、超时和错误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frontend/lib/types.ts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与后端响应一致的TypeScript类型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frontend/lib/format.ts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收益率、金额、日期和空值格式</w:t>
            </w:r>
          </w:p>
        </w:tc>
      </w:tr>
      <w:tr>
        <w:trPr>
          <w:trHeight w:hRule="atLeast"/>
        </w:trPr>
        <w:tc>
          <w:tcPr>
            <w:tcW w:type="dxa" w:w="417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frontend/tests/*.spec.ts</w:t>
            </w:r>
          </w:p>
        </w:tc>
        <w:tc>
          <w:tcPr>
            <w:tcW w:type="dxa" w:w="51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Playwright页面端到端测试</w:t>
            </w:r>
          </w:p>
        </w:tc>
      </w:tr>
    </w:tbl>
    <w:p>
      <w:pPr>
        <w:spacing w:after="20"/>
      </w:pPr>
    </w:p>
    <w:p>
      <w:pPr>
        <w:pStyle w:val="Heading2"/>
      </w:pPr>
      <w:r>
        <w:t>12.1 页面信息层级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4320"/>
        <w:gridCol w:w="3384"/>
      </w:tblGrid>
      <w:tr>
        <w:trPr>
          <w:tblHeader w:val="true"/>
        </w:trPr>
        <w:tc>
          <w:tcPr>
            <w:tcW w:type="dxa" w:w="165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页面</w:t>
            </w:r>
          </w:p>
        </w:tc>
        <w:tc>
          <w:tcPr>
            <w:tcW w:type="dxa" w:w="432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首屏必须看到</w:t>
            </w:r>
          </w:p>
        </w:tc>
        <w:tc>
          <w:tcPr>
            <w:tcW w:type="dxa" w:w="338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下钻内容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市场总览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当前状态、三类风格概率、最新数据时间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成交、宽度、资金、风险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风格预测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5日/20日概率、相对收益、置信区间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历史准确率和主要驱动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股票排名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排名、ART分数、指数、行业、风险标记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筛选、排序和导出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个股详情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评分、排名、时序走势、主要贡献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因子历史、风险和模型版本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模拟组合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持仓、权重、收益、回撤、暴露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调仓历史和约束检查</w:t>
            </w:r>
          </w:p>
        </w:tc>
      </w:tr>
      <w:tr>
        <w:trPr>
          <w:trHeight w:hRule="atLeast"/>
        </w:trPr>
        <w:tc>
          <w:tcPr>
            <w:tcW w:type="dxa" w:w="165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模型监控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数据新鲜度、Rank IC、任务状态</w:t>
            </w:r>
          </w:p>
        </w:tc>
        <w:tc>
          <w:tcPr>
            <w:tcW w:type="dxa" w:w="338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漂移、版本和告警</w:t>
            </w:r>
          </w:p>
        </w:tc>
      </w:tr>
    </w:tbl>
    <w:p>
      <w:pPr>
        <w:spacing w:after="20"/>
      </w:pPr>
    </w:p>
    <w:p>
      <w:pPr>
        <w:pStyle w:val="Heading1"/>
      </w:pPr>
      <w:r>
        <w:t>13. 自动化流程与任务文件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3319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图3  每日收盘后自动运行流程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28"/>
        <w:gridCol w:w="5832"/>
      </w:tblGrid>
      <w:tr>
        <w:trPr>
          <w:tblHeader w:val="true"/>
        </w:trPr>
        <w:tc>
          <w:tcPr>
            <w:tcW w:type="dxa" w:w="352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文件</w:t>
            </w:r>
          </w:p>
        </w:tc>
        <w:tc>
          <w:tcPr>
            <w:tcW w:type="dxa" w:w="583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具体任务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pipelines/backfill.py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首次回填历史数据和断点续跑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pipelines/daily_ingestion.py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增量获取当天行情、公告和资金数据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pipelines/daily_features.py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计算当日特征并写入特征库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pipelines/daily_inference.py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运行HMM、TFT、PatchTST和Ranker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pipelines/daily_portfolio.py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生成目标组合、约束检查和模拟订单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pipelines/daily_publish.py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刷新缓存、生成报告、发布网站结果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pipelines/weekly_train.py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滚动训练全部模型并进行champion/challenger比较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pipelines/monthly_validation.py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完整样本外评估、因子复核和压力测试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monitoring/data_quality.py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数据缺失、延迟和异常监控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monitoring/model_performance.py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Rank IC、风格准确率和收益监控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monitoring/drift.py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PSI、分布差异和特征漂移</w:t>
            </w:r>
          </w:p>
        </w:tc>
      </w:tr>
      <w:tr>
        <w:trPr>
          <w:trHeight w:hRule="atLeast"/>
        </w:trPr>
        <w:tc>
          <w:tcPr>
            <w:tcW w:type="dxa" w:w="35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monitoring/alerts.py</w:t>
            </w:r>
          </w:p>
        </w:tc>
        <w:tc>
          <w:tcPr>
            <w:tcW w:type="dxa" w:w="58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邮件/企业通信告警适配器；默认仅记录</w:t>
            </w:r>
          </w:p>
        </w:tc>
      </w:tr>
    </w:tbl>
    <w:p>
      <w:pPr>
        <w:spacing w:after="20"/>
      </w:pPr>
    </w:p>
    <w:p>
      <w:pPr>
        <w:pStyle w:val="Heading2"/>
      </w:pPr>
      <w:r>
        <w:t>13.1 运行频率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4320"/>
        <w:gridCol w:w="3096"/>
      </w:tblGrid>
      <w:tr>
        <w:trPr>
          <w:tblHeader w:val="true"/>
        </w:trPr>
        <w:tc>
          <w:tcPr>
            <w:tcW w:type="dxa" w:w="194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频率</w:t>
            </w:r>
          </w:p>
        </w:tc>
        <w:tc>
          <w:tcPr>
            <w:tcW w:type="dxa" w:w="432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任务</w:t>
            </w:r>
          </w:p>
        </w:tc>
        <w:tc>
          <w:tcPr>
            <w:tcW w:type="dxa" w:w="309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产物与检查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盘中5—15分钟（后续）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更新市场nowcast，不重新训练深度模型</w:t>
            </w:r>
          </w:p>
        </w:tc>
        <w:tc>
          <w:tcPr>
            <w:tcW w:type="dxa" w:w="309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临时状态；不得覆盖收盘正式结果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每日收盘后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接入、校验、特征、推理、组合、发布</w:t>
            </w:r>
          </w:p>
        </w:tc>
        <w:tc>
          <w:tcPr>
            <w:tcW w:type="dxa" w:w="309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当日快照和任务run_id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每周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滚动训练和候选模型比较</w:t>
            </w:r>
          </w:p>
        </w:tc>
        <w:tc>
          <w:tcPr>
            <w:tcW w:type="dxa" w:w="309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模型版本、样本外报告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每月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完整回测、压力测试、漂移与因子复核</w:t>
            </w:r>
          </w:p>
        </w:tc>
        <w:tc>
          <w:tcPr>
            <w:tcW w:type="dxa" w:w="309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月度模型卡和验收结论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异常触发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数据漂移、连续Rank IC恶化或任务失败</w:t>
            </w:r>
          </w:p>
        </w:tc>
        <w:tc>
          <w:tcPr>
            <w:tcW w:type="dxa" w:w="309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暂停发布或切换上一稳定版本</w:t>
            </w:r>
          </w:p>
        </w:tc>
      </w:tr>
    </w:tbl>
    <w:p>
      <w:pPr>
        <w:spacing w:after="20"/>
      </w:pPr>
    </w:p>
    <w:p>
      <w:pPr>
        <w:pStyle w:val="Heading2"/>
      </w:pPr>
      <w:r>
        <w:t>13.2 每日任务的原子步骤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创建pipeline_run并获得run_id；检查上一个交易日是否已完整结束。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获取数据并写入raw层；对接口响应生成校验值。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完成质量校验；若关键行情缺失则停止后续发布。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完成PIT对齐和特征计算；记录feature_version。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加载当前champion模型；验证模型文件校验值和特征Schema。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执行HMM、TFT、PatchTST与LambdaRank；保存原始和最终评分。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构建目标组合并执行所有约束；不通过的组合不得发布。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追加写入预测、持仓与审计表；刷新Redis缓存。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生成每日摘要和监控指标；任务标记为success或failed。</w:t>
      </w:r>
    </w:p>
    <w:p>
      <w:pPr>
        <w:pStyle w:val="Heading1"/>
      </w:pPr>
      <w:r>
        <w:t>14. 测试文件与质量门禁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032"/>
        <w:gridCol w:w="5328"/>
      </w:tblGrid>
      <w:tr>
        <w:trPr>
          <w:tblHeader w:val="true"/>
        </w:trPr>
        <w:tc>
          <w:tcPr>
            <w:tcW w:type="dxa" w:w="403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测试文件</w:t>
            </w:r>
          </w:p>
        </w:tc>
        <w:tc>
          <w:tcPr>
            <w:tcW w:type="dxa" w:w="532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验证内容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tests/unit/test_calendar.py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交易日与预测窗口边界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tests/unit/test_adjust_prices.py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复权结果和除权事件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tests/unit/test_pit_alignment.py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任何行不得使用available_time之后数据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tests/unit/test_features.py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因子公式、缺失值和极端值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tests/unit/test_hmm.py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状态概率、保存加载和重标记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tests/unit/test_tft_shapes.py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张量形状、mask和多周期输出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tests/unit/test_patchtst_shapes.py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patch切分和embedding稳定性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tests/unit/test_ranker_groups.py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每个trade_date分组正确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tests/unit/test_constraints.py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所有组合约束和拒绝原因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tests/integration/test_daily_pipeline.py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从数据到预测的完整日更流程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tests/integration/test_api_contract.py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API响应与Schema一致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tests/regression/test_backtest_snapshot.py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关键回测结果不会因无关改动漂移</w:t>
            </w:r>
          </w:p>
        </w:tc>
      </w:tr>
      <w:tr>
        <w:trPr>
          <w:trHeight w:hRule="atLeast"/>
        </w:trPr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frontend/tests/smoke.spec.ts</w:t>
            </w:r>
          </w:p>
        </w:tc>
        <w:tc>
          <w:tcPr>
            <w:tcW w:type="dxa" w:w="53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核心页面可打开并显示数据时间</w:t>
            </w:r>
          </w:p>
        </w:tc>
      </w:tr>
    </w:tbl>
    <w:p>
      <w:pPr>
        <w:spacing w:after="20"/>
      </w:pPr>
    </w:p>
    <w:p>
      <w:pPr>
        <w:pStyle w:val="Heading2"/>
      </w:pPr>
      <w:r>
        <w:t>14.1 上线门禁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数据门禁：关键行情完整率达到预设阈值，主键无重复，PIT测试全部通过。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代码门禁：单元测试、集成测试、静态检查和前端构建全部通过。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模型门禁：只比较样本外指标；新模型在多个市场阶段不劣于当前稳定模型。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组合门禁：扣除配置化成本后评估；无约束超限和不可成交订单。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解释门禁：每个预测显示as_of_date、horizon、model_version和data_version。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发布门禁：若最新数据或模型异常，网站显示上一次稳定结果及明确时间，不伪装成实时。</w:t>
      </w:r>
    </w:p>
    <w:p>
      <w:pPr>
        <w:pStyle w:val="Heading1"/>
      </w:pPr>
      <w:r>
        <w:t>15. 部署、安全与权限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服务</w:t>
            </w:r>
          </w:p>
        </w:tc>
        <w:tc>
          <w:tcPr>
            <w:tcW w:type="dxa" w:w="360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容器/运行方式</w:t>
            </w:r>
          </w:p>
        </w:tc>
        <w:tc>
          <w:tcPr>
            <w:tcW w:type="dxa" w:w="396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安全要求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PostgreSQL</w:t>
            </w:r>
          </w:p>
        </w:tc>
        <w:tc>
          <w:tcPr>
            <w:tcW w:type="dxa" w:w="36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独立容器或托管数据库</w:t>
            </w:r>
          </w:p>
        </w:tc>
        <w:tc>
          <w:tcPr>
            <w:tcW w:type="dxa" w:w="39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非公网暴露、每日备份、最小权限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Redis</w:t>
            </w:r>
          </w:p>
        </w:tc>
        <w:tc>
          <w:tcPr>
            <w:tcW w:type="dxa" w:w="36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独立容器</w:t>
            </w:r>
          </w:p>
        </w:tc>
        <w:tc>
          <w:tcPr>
            <w:tcW w:type="dxa" w:w="39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仅内网访问、不保存长期主数据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MLflow</w:t>
            </w:r>
          </w:p>
        </w:tc>
        <w:tc>
          <w:tcPr>
            <w:tcW w:type="dxa" w:w="36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独立服务</w:t>
            </w:r>
          </w:p>
        </w:tc>
        <w:tc>
          <w:tcPr>
            <w:tcW w:type="dxa" w:w="39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限制写权限、模型产物校验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API</w:t>
            </w:r>
          </w:p>
        </w:tc>
        <w:tc>
          <w:tcPr>
            <w:tcW w:type="dxa" w:w="36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FastAPI + Gunicorn/Uvicorn</w:t>
            </w:r>
          </w:p>
        </w:tc>
        <w:tc>
          <w:tcPr>
            <w:tcW w:type="dxa" w:w="39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鉴权、限流、请求日志、错误脱敏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Frontend</w:t>
            </w:r>
          </w:p>
        </w:tc>
        <w:tc>
          <w:tcPr>
            <w:tcW w:type="dxa" w:w="36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Next.js</w:t>
            </w:r>
          </w:p>
        </w:tc>
        <w:tc>
          <w:tcPr>
            <w:tcW w:type="dxa" w:w="39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不包含数据源密钥和数据库连接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Worker</w:t>
            </w:r>
          </w:p>
        </w:tc>
        <w:tc>
          <w:tcPr>
            <w:tcW w:type="dxa" w:w="36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Prefect worker</w:t>
            </w:r>
          </w:p>
        </w:tc>
        <w:tc>
          <w:tcPr>
            <w:tcW w:type="dxa" w:w="39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单独服务账号和资源限制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Training</w:t>
            </w:r>
          </w:p>
        </w:tc>
        <w:tc>
          <w:tcPr>
            <w:tcW w:type="dxa" w:w="36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GPU任务</w:t>
            </w:r>
          </w:p>
        </w:tc>
        <w:tc>
          <w:tcPr>
            <w:tcW w:type="dxa" w:w="39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与在线API隔离、失败不影响网站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Nginx</w:t>
            </w:r>
          </w:p>
        </w:tc>
        <w:tc>
          <w:tcPr>
            <w:tcW w:type="dxa" w:w="36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反向代理</w:t>
            </w:r>
          </w:p>
        </w:tc>
        <w:tc>
          <w:tcPr>
            <w:tcW w:type="dxa" w:w="396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TLS、静态资源缓存和安全头</w:t>
            </w:r>
          </w:p>
        </w:tc>
      </w:tr>
    </w:tbl>
    <w:p>
      <w:pPr>
        <w:spacing w:after="20"/>
      </w:pPr>
    </w:p>
    <w:p>
      <w:pPr>
        <w:pStyle w:val="Heading2"/>
      </w:pPr>
      <w:r>
        <w:t>15.1 权限角色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727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允许操作</w:t>
            </w:r>
          </w:p>
        </w:tc>
      </w:tr>
      <w:tr>
        <w:trPr>
          <w:trHeight w:hRule="atLeast"/>
        </w:trPr>
        <w:tc>
          <w:tcPr>
            <w:tcW w:type="dxa" w:w="20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Viewer</w:t>
            </w:r>
          </w:p>
        </w:tc>
        <w:tc>
          <w:tcPr>
            <w:tcW w:type="dxa" w:w="72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查看市场、预测、排名、组合和回测</w:t>
            </w:r>
          </w:p>
        </w:tc>
      </w:tr>
      <w:tr>
        <w:trPr>
          <w:trHeight w:hRule="atLeast"/>
        </w:trPr>
        <w:tc>
          <w:tcPr>
            <w:tcW w:type="dxa" w:w="20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Researcher</w:t>
            </w:r>
          </w:p>
        </w:tc>
        <w:tc>
          <w:tcPr>
            <w:tcW w:type="dxa" w:w="72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创建回测、查看模型指标和下载研究结果</w:t>
            </w:r>
          </w:p>
        </w:tc>
      </w:tr>
      <w:tr>
        <w:trPr>
          <w:trHeight w:hRule="atLeast"/>
        </w:trPr>
        <w:tc>
          <w:tcPr>
            <w:tcW w:type="dxa" w:w="20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Model Operator</w:t>
            </w:r>
          </w:p>
        </w:tc>
        <w:tc>
          <w:tcPr>
            <w:tcW w:type="dxa" w:w="72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触发训练、注册候选模型、查看任务日志</w:t>
            </w:r>
          </w:p>
        </w:tc>
      </w:tr>
      <w:tr>
        <w:trPr>
          <w:trHeight w:hRule="atLeast"/>
        </w:trPr>
        <w:tc>
          <w:tcPr>
            <w:tcW w:type="dxa" w:w="208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Administrator</w:t>
            </w:r>
          </w:p>
        </w:tc>
        <w:tc>
          <w:tcPr>
            <w:tcW w:type="dxa" w:w="727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管理用户、配置和发布状态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230" w:right="86"/>
        <w:shd w:fill="FCECEC" w:val="clear"/>
        <w:pBdr>
          <w:left w:val="single" w:sz="18" w:space="8" w:color="A61B1B"/>
        </w:pBdr>
      </w:pPr>
      <w:r>
        <w:rPr>
          <w:rFonts w:ascii="Microsoft YaHei" w:hAnsi="Microsoft YaHei" w:eastAsia="Microsoft YaHei"/>
          <w:b/>
          <w:color w:val="A61B1B"/>
          <w:sz w:val="21"/>
        </w:rPr>
        <w:t xml:space="preserve">数据边界  </w:t>
      </w:r>
      <w:r>
        <w:rPr>
          <w:rFonts w:ascii="Microsoft YaHei" w:hAnsi="Microsoft YaHei" w:eastAsia="Microsoft YaHei"/>
          <w:color w:val="1F2937"/>
          <w:sz w:val="21"/>
        </w:rPr>
        <w:t>公司内部成交、账户或客户数据不得进入个人云环境。若未来纳入，只允许在经批准的隔离环境中使用匿名化、聚合化特征，并由合规和数据负责人确认用途、权限和留存期限。</w:t>
      </w:r>
    </w:p>
    <w:p>
      <w:pPr>
        <w:pStyle w:val="Heading1"/>
      </w:pPr>
      <w:r>
        <w:t>16. 分阶段实施路线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368"/>
        <w:gridCol w:w="4032"/>
        <w:gridCol w:w="1728"/>
      </w:tblGrid>
      <w:tr>
        <w:trPr>
          <w:tblHeader w:val="true"/>
        </w:trPr>
        <w:tc>
          <w:tcPr>
            <w:tcW w:type="dxa" w:w="223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136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建议周期</w:t>
            </w:r>
          </w:p>
        </w:tc>
        <w:tc>
          <w:tcPr>
            <w:tcW w:type="dxa" w:w="403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主要交付</w:t>
            </w:r>
          </w:p>
        </w:tc>
        <w:tc>
          <w:tcPr>
            <w:tcW w:type="dxa" w:w="172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退出条件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阶段0：立项与环境</w:t>
            </w:r>
          </w:p>
        </w:tc>
        <w:tc>
          <w:tcPr>
            <w:tcW w:type="dxa" w:w="13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第1周</w:t>
            </w:r>
          </w:p>
        </w:tc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仓库、Docker、数据库迁移、配置与CI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make init可以成功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阶段1：数据底座</w:t>
            </w:r>
          </w:p>
        </w:tc>
        <w:tc>
          <w:tcPr>
            <w:tcW w:type="dxa" w:w="13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第2—4周</w:t>
            </w:r>
          </w:p>
        </w:tc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日频行情、指数成分、财务PIT、质量校验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可重现历史日度快照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阶段2：基线与回测</w:t>
            </w:r>
          </w:p>
        </w:tc>
        <w:tc>
          <w:tcPr>
            <w:tcW w:type="dxa" w:w="13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第5—6周</w:t>
            </w:r>
          </w:p>
        </w:tc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线性/LightGBM基线、股票池、回测引擎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无泄露的walk-forward报告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阶段3：ART-Rank模型</w:t>
            </w:r>
          </w:p>
        </w:tc>
        <w:tc>
          <w:tcPr>
            <w:tcW w:type="dxa" w:w="13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第7—10周</w:t>
            </w:r>
          </w:p>
        </w:tc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HMM、TFT、PatchTST、LambdaRank、集成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模型独立和联合推理成功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阶段4：组合与API</w:t>
            </w:r>
          </w:p>
        </w:tc>
        <w:tc>
          <w:tcPr>
            <w:tcW w:type="dxa" w:w="13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第11—12周</w:t>
            </w:r>
          </w:p>
        </w:tc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优化、风险、FastAPI和缓存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API契约测试通过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阶段5：前端网站</w:t>
            </w:r>
          </w:p>
        </w:tc>
        <w:tc>
          <w:tcPr>
            <w:tcW w:type="dxa" w:w="13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第13—14周</w:t>
            </w:r>
          </w:p>
        </w:tc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八个核心页面和端到端测试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本地/测试环境可访问</w:t>
            </w:r>
          </w:p>
        </w:tc>
      </w:tr>
      <w:tr>
        <w:trPr>
          <w:trHeight w:hRule="atLeast"/>
        </w:trPr>
        <w:tc>
          <w:tcPr>
            <w:tcW w:type="dxa" w:w="22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阶段6：模拟运行</w:t>
            </w:r>
          </w:p>
        </w:tc>
        <w:tc>
          <w:tcPr>
            <w:tcW w:type="dxa" w:w="13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第15周起</w:t>
            </w:r>
          </w:p>
        </w:tc>
        <w:tc>
          <w:tcPr>
            <w:tcW w:type="dxa" w:w="403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每日自动化、监控、1—3个月纸面交易</w:t>
            </w:r>
          </w:p>
        </w:tc>
        <w:tc>
          <w:tcPr>
            <w:tcW w:type="dxa" w:w="172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形成真实样本外记录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 w:val="0"/>
          <w:color w:val="1F2937"/>
        </w:rPr>
        <w:t>如果由一人兼职开发，建议按4—6个月安排；如果由2—3人并行负责数据/模型和前后端，约10—14周可完成可用测试版。时间仅用于规划，应以数据授权、质量和模型验证结果为准。</w:t>
      </w:r>
    </w:p>
    <w:p>
      <w:pPr>
        <w:pStyle w:val="Heading2"/>
      </w:pPr>
      <w:r>
        <w:t>16.1 每个阶段的验收产物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代码：合并到主分支的源文件、测试和配置。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数据：数据字典、质量报告、快照版本和回填日志。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模型：模型卡、参数、训练区间、样本外指标和权重文件。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网站：页面截图、API文档、端到端测试和部署记录。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color w:val="1F2937"/>
          <w:sz w:val="21"/>
        </w:rPr>
        <w:t>运维：每日run_id、监控面板、告警记录和回滚演练。</w:t>
      </w:r>
    </w:p>
    <w:p>
      <w:pPr>
        <w:pStyle w:val="Heading1"/>
      </w:pPr>
      <w:r>
        <w:t>17.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7416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最低验收标准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可复现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固定代码、配置、数据版本和随机种子后，可重现同一训练/回测结果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无泄露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PIT单元测试、embargo切分和历史成分股测试全部通过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数据质量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关键数据缺失、重复、异常和延迟有明确阈值、隔离和告警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模型有效性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样本外Rank IC、风格准确率和扣费后组合指标优于基线；跨阶段稳定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风险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个股、行业、市值、流动性和换手约束100%可验证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接口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OpenAPI完整；核心接口缓存后p95目标小于500ms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页面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核心页面在桌面端正常显示；明确数据时间、模型版本和风险提示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任务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日更流程可重跑、可回滚、不可重复写坏数据；失败时不发布错误结果</w:t>
            </w:r>
          </w:p>
        </w:tc>
      </w:tr>
      <w:tr>
        <w:trPr>
          <w:trHeight w:hRule="atLeast"/>
        </w:trPr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安全</w:t>
            </w:r>
          </w:p>
        </w:tc>
        <w:tc>
          <w:tcPr>
            <w:tcW w:type="dxa" w:w="7416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密钥不入库；数据库不直接暴露；内部数据不进入未授权环境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模型验收说明  </w:t>
      </w:r>
      <w:r>
        <w:rPr>
          <w:rFonts w:ascii="Microsoft YaHei" w:hAnsi="Microsoft YaHei" w:eastAsia="Microsoft YaHei"/>
          <w:color w:val="1F2937"/>
          <w:sz w:val="21"/>
        </w:rPr>
        <w:t>不要事先承诺固定收益或准确率。建议把“样本外Rank IC长期为正、分组收益具有单调性、扣除成本后仍有超额、多个市场阶段不过度失效”作为研究门槛，并与简单基线比较。</w:t>
      </w:r>
    </w:p>
    <w:p>
      <w:pPr>
        <w:pStyle w:val="Heading1"/>
      </w:pPr>
      <w:r>
        <w:t>18. 第一批十个工作日的具体任务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2"/>
        <w:gridCol w:w="6264"/>
        <w:gridCol w:w="1944"/>
      </w:tblGrid>
      <w:tr>
        <w:trPr>
          <w:tblHeader w:val="true"/>
        </w:trPr>
        <w:tc>
          <w:tcPr>
            <w:tcW w:type="dxa" w:w="115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时间</w:t>
            </w:r>
          </w:p>
        </w:tc>
        <w:tc>
          <w:tcPr>
            <w:tcW w:type="dxa" w:w="626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具体工作</w:t>
            </w:r>
          </w:p>
        </w:tc>
        <w:tc>
          <w:tcPr>
            <w:tcW w:type="dxa" w:w="1944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验收命令/结果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1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创建仓库、pyproject、Makefile、.env.example和目录骨架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make help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2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完成docker-compose：PostgreSQL、Redis、MLflow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服务健康检查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3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创建Alembic迁移和stock_daily/index_daily表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make init-db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4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实现交易日历、market客户端和原始数据落地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单日数据入库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5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实现Schema、质量检查、quarantine和日志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故意错误数据被拦截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6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实现历史指数成分和universe_daily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任意历史日可查询股票池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7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实现复权、PIT对齐和基础量价特征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特征快照可生成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8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实现labels.py和walk-forward切分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无重叠泄露测试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9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完成LightGBM基线排名和简单回测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首份样本外报告</w:t>
            </w:r>
          </w:p>
        </w:tc>
      </w:tr>
      <w:tr>
        <w:trPr>
          <w:trHeight w:hRule="atLeast"/>
        </w:trPr>
        <w:tc>
          <w:tcPr>
            <w:tcW w:type="dxa" w:w="11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Day 10</w:t>
            </w:r>
          </w:p>
        </w:tc>
        <w:tc>
          <w:tcPr>
            <w:tcW w:type="dxa" w:w="626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完成FastAPI健康、市场、排名三个接口</w:t>
            </w:r>
          </w:p>
        </w:tc>
        <w:tc>
          <w:tcPr>
            <w:tcW w:type="dxa" w:w="1944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OpenAPI可访问</w:t>
            </w:r>
          </w:p>
        </w:tc>
      </w:tr>
    </w:tbl>
    <w:p>
      <w:pPr>
        <w:spacing w:after="20"/>
      </w:pPr>
    </w:p>
    <w:p>
      <w:pPr>
        <w:pStyle w:val="Heading1"/>
      </w:pPr>
      <w:r>
        <w:t>附录A：建议命令入口</w:t>
      </w:r>
    </w:p>
    <w:p>
      <w:pPr>
        <w:pStyle w:val="CodeBlock"/>
        <w:shd w:fill="F2F4F7" w:val="clear"/>
      </w:pPr>
      <w:r>
        <w:rPr>
          <w:rFonts w:ascii="DejaVu Sans Mono" w:hAnsi="DejaVu Sans Mono" w:eastAsia="DejaVu Sans Mono"/>
          <w:color w:val="1F2937"/>
          <w:sz w:val="16"/>
        </w:rPr>
        <w:t># 初始化</w:t>
        <w:br/>
        <w:t>cp .env.example .env</w:t>
        <w:br/>
        <w:t>make install</w:t>
        <w:br/>
        <w:t>make services-up</w:t>
        <w:br/>
        <w:t>make init-db</w:t>
        <w:br/>
        <w:br/>
        <w:t># 数据与训练</w:t>
        <w:br/>
        <w:t>make backfill START=2015-01-01 END=2026-06-30</w:t>
        <w:br/>
        <w:t>make materialize-features AS_OF=2026-06-30</w:t>
        <w:br/>
        <w:t>make train-baseline</w:t>
        <w:br/>
        <w:t>make train-art-rank</w:t>
        <w:br/>
        <w:t>make backtest CONFIG=configs/backtest.yaml</w:t>
        <w:br/>
        <w:br/>
        <w:t># 日常运行</w:t>
        <w:br/>
        <w:t>make daily AS_OF=2026-07-13</w:t>
        <w:br/>
        <w:t>make api</w:t>
        <w:br/>
        <w:t>make frontend</w:t>
        <w:br/>
        <w:br/>
        <w:t># 质量检查</w:t>
        <w:br/>
        <w:t>make lint</w:t>
        <w:br/>
        <w:t>make typecheck</w:t>
        <w:br/>
        <w:t>make test</w:t>
        <w:br/>
        <w:t>make e2e</w:t>
      </w:r>
    </w:p>
    <w:p>
      <w:pPr>
        <w:pStyle w:val="Heading1"/>
      </w:pPr>
      <w:r>
        <w:t>附录B：环境变量清单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68"/>
        <w:gridCol w:w="4752"/>
        <w:gridCol w:w="1440"/>
      </w:tblGrid>
      <w:tr>
        <w:trPr>
          <w:tblHeader w:val="true"/>
        </w:trPr>
        <w:tc>
          <w:tcPr>
            <w:tcW w:type="dxa" w:w="3168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变量</w:t>
            </w:r>
          </w:p>
        </w:tc>
        <w:tc>
          <w:tcPr>
            <w:tcW w:type="dxa" w:w="4752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144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是否必需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APP_ENV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local/test/prod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DATABASE_URL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PostgreSQL连接；不得提交Git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REDIS_URL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Redis连接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MLFLOW_TRACKING_URI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MLflow地址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DATA_PROVIDER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授权数据源名称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DATA_API_KEY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数据源密钥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是，密钥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OBJECT_STORE_URI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Parquet与模型产物位置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正式版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MODEL_STAGE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champion/challenger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LOG_LEVEL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INFO/WARNING/ERROR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3168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ALERT_CHANNEL</w:t>
            </w:r>
          </w:p>
        </w:tc>
        <w:tc>
          <w:tcPr>
            <w:tcW w:type="dxa" w:w="4752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none/email/approved_connector</w:t>
            </w:r>
          </w:p>
        </w:tc>
        <w:tc>
          <w:tcPr>
            <w:tcW w:type="dxa" w:w="14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7"/>
              </w:rPr>
              <w:t>可选</w:t>
            </w:r>
          </w:p>
        </w:tc>
      </w:tr>
    </w:tbl>
    <w:p>
      <w:pPr>
        <w:spacing w:after="20"/>
      </w:pPr>
    </w:p>
    <w:p>
      <w:pPr>
        <w:pStyle w:val="Heading1"/>
      </w:pPr>
      <w:r>
        <w:t>附录C：风险与应对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240"/>
        <w:gridCol w:w="4320"/>
      </w:tblGrid>
      <w:tr>
        <w:trPr>
          <w:tblHeader w:val="true"/>
        </w:trPr>
        <w:tc>
          <w:tcPr>
            <w:tcW w:type="dxa" w:w="180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324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表现</w:t>
            </w:r>
          </w:p>
        </w:tc>
        <w:tc>
          <w:tcPr>
            <w:tcW w:type="dxa" w:w="4320"/>
            <w:vAlign w:val="center"/>
            <w:shd w:fill="DCE6F1" w:val="clear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应对措施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未来数据泄露</w:t>
            </w:r>
          </w:p>
        </w:tc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回测异常漂亮，实盘迅速失效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PIT字段、历史成分、embargo、专门单元测试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过拟合</w:t>
            </w:r>
          </w:p>
        </w:tc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复杂模型训练好、样本外差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简单基线、滚动验证、早停、稳定性门禁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市场状态漂移</w:t>
            </w:r>
          </w:p>
        </w:tc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旧关系失效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HMM状态、动态集成、漂移告警和版本回退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交易成本低估</w:t>
            </w:r>
          </w:p>
        </w:tc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毛收益可观、净收益消失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费用配置、滑点、冲击和容量测试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数据源中断</w:t>
            </w:r>
          </w:p>
        </w:tc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当日结果缺失或错误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多级校验、失败停止发布、保留上一稳定结果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解释误导</w:t>
            </w:r>
          </w:p>
        </w:tc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SHAP被当成因果解释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页面明确“模型贡献，不代表因果”</w:t>
            </w:r>
          </w:p>
        </w:tc>
      </w:tr>
      <w:tr>
        <w:trPr>
          <w:trHeight w:hRule="atLeast"/>
        </w:trPr>
        <w:tc>
          <w:tcPr>
            <w:tcW w:type="dxa" w:w="180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合规风险</w:t>
            </w:r>
          </w:p>
        </w:tc>
        <w:tc>
          <w:tcPr>
            <w:tcW w:type="dxa" w:w="324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内部数据外泄或公开荐股</w:t>
            </w:r>
          </w:p>
        </w:tc>
        <w:tc>
          <w:tcPr>
            <w:tcW w:type="dxa" w:w="4320"/>
            <w:vAlign w:val="top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  <w:insideH w:val="single" w:sz="4" w:space="0" w:color="D9DEE5"/>
              <w:insideV w:val="single" w:sz="4" w:space="0" w:color="D9DE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20" w:line="259" w:lineRule="auto"/>
            </w:pPr>
            <w:r/>
            <w:r>
              <w:rPr>
                <w:rFonts w:ascii="Microsoft YaHei" w:hAnsi="Microsoft YaHei" w:eastAsia="Microsoft YaHei"/>
                <w:color w:val="1F2937"/>
                <w:sz w:val="16"/>
              </w:rPr>
              <w:t>数据隔离、权限、用途审批和对外发布评审</w:t>
            </w:r>
          </w:p>
        </w:tc>
      </w:tr>
    </w:tbl>
    <w:p>
      <w:pPr>
        <w:spacing w:after="20"/>
      </w:pPr>
    </w:p>
    <w:p>
      <w:pPr>
        <w:pStyle w:val="Heading1"/>
      </w:pPr>
      <w:r>
        <w:t>附录D：参考资料</w:t>
      </w:r>
    </w:p>
    <w:p>
      <w:pPr>
        <w:numPr>
          <w:ilvl w:val="0"/>
          <w:numId w:val="10"/>
        </w:numPr>
        <w:spacing w:after="80"/>
      </w:pPr>
      <w:r>
        <w:rPr>
          <w:rFonts w:ascii="Microsoft YaHei" w:hAnsi="Microsoft YaHei" w:eastAsia="Microsoft YaHei"/>
          <w:color w:val="1F2937"/>
          <w:sz w:val="20"/>
        </w:rPr>
        <w:t>用户提供：《知行通达3800量选—中信三季度重点代销产品》</w:t>
      </w:r>
    </w:p>
    <w:p>
      <w:pPr>
        <w:numPr>
          <w:ilvl w:val="0"/>
          <w:numId w:val="10"/>
        </w:numPr>
        <w:spacing w:after="80"/>
      </w:pPr>
      <w:r>
        <w:rPr>
          <w:rFonts w:ascii="Microsoft YaHei" w:hAnsi="Microsoft YaHei" w:eastAsia="Microsoft YaHei"/>
          <w:color w:val="1F2937"/>
          <w:sz w:val="20"/>
        </w:rPr>
        <w:t>用户提供：《新版长图版—每周财富观察（2026-06-21）》</w:t>
      </w:r>
    </w:p>
    <w:p>
      <w:pPr>
        <w:numPr>
          <w:ilvl w:val="0"/>
          <w:numId w:val="10"/>
        </w:numPr>
        <w:spacing w:after="80"/>
      </w:pPr>
      <w:hyperlink r:id="rId14">
        <w:r>
          <w:rPr>
            <w:rFonts w:ascii="Microsoft YaHei" w:hAnsi="Microsoft YaHei" w:eastAsia="Microsoft YaHei"/>
            <w:color w:val="2E74B5"/>
            <w:u w:val="single"/>
          </w:rPr>
          <w:t>中证指数有限公司：指数体系、样本和编制方案</w:t>
        </w:r>
      </w:hyperlink>
    </w:p>
    <w:p>
      <w:pPr>
        <w:numPr>
          <w:ilvl w:val="0"/>
          <w:numId w:val="10"/>
        </w:numPr>
        <w:spacing w:after="80"/>
      </w:pPr>
      <w:hyperlink r:id="rId15">
        <w:r>
          <w:rPr>
            <w:rFonts w:ascii="Microsoft YaHei" w:hAnsi="Microsoft YaHei" w:eastAsia="Microsoft YaHei"/>
            <w:color w:val="2E74B5"/>
            <w:u w:val="single"/>
          </w:rPr>
          <w:t>巨潮资讯数据服务：上市公司、基金、债券和公告数据</w:t>
        </w:r>
      </w:hyperlink>
    </w:p>
    <w:p>
      <w:pPr>
        <w:numPr>
          <w:ilvl w:val="0"/>
          <w:numId w:val="10"/>
        </w:numPr>
        <w:spacing w:after="80"/>
      </w:pPr>
      <w:hyperlink r:id="rId16">
        <w:r>
          <w:rPr>
            <w:rFonts w:ascii="Microsoft YaHei" w:hAnsi="Microsoft YaHei" w:eastAsia="Microsoft YaHei"/>
            <w:color w:val="2E74B5"/>
            <w:u w:val="single"/>
          </w:rPr>
          <w:t>中国证监会：《证券市场程序化交易管理规定（试行）》</w:t>
        </w:r>
      </w:hyperlink>
    </w:p>
    <w:p>
      <w:pPr>
        <w:numPr>
          <w:ilvl w:val="0"/>
          <w:numId w:val="10"/>
        </w:numPr>
        <w:spacing w:after="80"/>
      </w:pPr>
      <w:hyperlink r:id="rId17">
        <w:r>
          <w:rPr>
            <w:rFonts w:ascii="Microsoft YaHei" w:hAnsi="Microsoft YaHei" w:eastAsia="Microsoft YaHei"/>
            <w:color w:val="2E74B5"/>
            <w:u w:val="single"/>
          </w:rPr>
          <w:t>上海证券交易所：程序化交易管理实施细则</w:t>
        </w:r>
      </w:hyperlink>
    </w:p>
    <w:p>
      <w:pPr>
        <w:pStyle w:val="Heading1"/>
      </w:pPr>
      <w:r>
        <w:t>结论</w:t>
      </w:r>
    </w:p>
    <w:p>
      <w:r>
        <w:rPr>
          <w:rFonts w:ascii="Microsoft YaHei" w:hAnsi="Microsoft YaHei" w:eastAsia="Microsoft YaHei"/>
          <w:i w:val="0"/>
          <w:color w:val="1F2937"/>
        </w:rPr>
        <w:t>ART-Rank Quant应当被建设为一套可审计的研究系统，而不是只展示预测结果的网页。实施顺序必须是数据PIT与质量控制、简单基线、严格回测、完整ART-Rank模型、组合约束、API、前端、监控和长期模拟交易。只要严格按照本文件的目录和阶段推进，每一部分都可以独立开发、测试和验收，并最终组合为完整网站。</w:t>
      </w:r>
    </w:p>
    <w:p>
      <w:pPr>
        <w:spacing w:before="100" w:after="160" w:line="288" w:lineRule="auto"/>
        <w:ind w:left="230" w:right="86"/>
        <w:shd w:fill="EEF4FA" w:val="clear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下一步  </w:t>
      </w:r>
      <w:r>
        <w:rPr>
          <w:rFonts w:ascii="Microsoft YaHei" w:hAnsi="Microsoft YaHei" w:eastAsia="Microsoft YaHei"/>
          <w:color w:val="1F2937"/>
          <w:sz w:val="21"/>
        </w:rPr>
        <w:t>从阶段0开始创建仓库骨架和基础配置；随后优先实现stock_daily、index_members、fundamentals_pit、features_daily四类数据与walk-forward基线。不要一开始同时编写全部深度模型和全部页面。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76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5B6573"/>
        <w:sz w:val="17"/>
      </w:rPr>
      <w:t xml:space="preserve">第 </w:t>
    </w:r>
    <w:r>
      <w:rPr>
        <w:rFonts w:ascii="Microsoft YaHei" w:hAnsi="Microsoft YaHe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B6573"/>
        <w:sz w:val="17"/>
      </w:rPr>
      <w:t>ART-Rank Quant  |  网站落地实施方案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30" w:right="144"/>
    </w:pPr>
    <w:rPr>
      <w:rFonts w:ascii="DejaVu Sans Mono" w:hAnsi="DejaVu Sans Mono" w:eastAsia="Microsoft YaHei"/>
      <w:color w:val="1F2937"/>
      <w:sz w:val="16"/>
    </w:rPr>
  </w:style>
  <w:style w:type="paragraph" w:customStyle="1" w:styleId="CaptionCustom">
    <w:name w:val="Caption Custom"/>
    <w:pPr>
      <w:spacing w:before="60" w:after="160"/>
      <w:jc w:val="center"/>
    </w:pPr>
    <w:rPr>
      <w:rFonts w:ascii="Microsoft YaHei" w:hAnsi="Microsoft YaHei" w:eastAsia="Microsoft YaHei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csindex.com.cn/" TargetMode="External"/><Relationship Id="rId15" Type="http://schemas.openxmlformats.org/officeDocument/2006/relationships/hyperlink" Target="https://webapi.cninfo.com.cn/" TargetMode="External"/><Relationship Id="rId16" Type="http://schemas.openxmlformats.org/officeDocument/2006/relationships/hyperlink" Target="https://www.csrc.gov.cn/csrc/c100028/c7480577/content.shtml" TargetMode="External"/><Relationship Id="rId17" Type="http://schemas.openxmlformats.org/officeDocument/2006/relationships/hyperlink" Target="https://www.sse.com.cn/lawandrules/sselawsrules2025/trade/universal/c/c_20250612_10781696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ART-Rank Quant 智势量选网站落地实施方案</dc:title>
  <dc:subject>HMM + TFT + PatchTST + LightGBM LambdaRank量化网站实施蓝图</dc:subject>
  <dc:creator>OpenAI</dc:creator>
  <cp:keywords>ART-Rank, 量化, 网站, TFT, PatchTST, LambdaRank, 实施方案</cp:keywords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