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color w:val="fce5cd"/>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3</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2</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rPr>
            </w:pPr>
            <w:r w:rsidDel="00000000" w:rsidR="00000000" w:rsidRPr="00000000">
              <w:rPr>
                <w:b w:val="1"/>
                <w:bCs w:val="1"/>
                <w:rtl w:val="0"/>
              </w:rPr>
              <w:t xml:space="preserve">4</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A">
            <w:pPr>
              <w:ind w:left="0" w:right="-90" w:firstLine="0"/>
              <w:rPr>
                <w:rFonts w:ascii="Google Sans" w:cs="Google Sans" w:eastAsia="Google Sans" w:hAnsi="Google Sans"/>
              </w:rPr>
            </w:pPr>
            <w:r w:rsidDel="00000000" w:rsidR="00000000" w:rsidRPr="00000000">
              <w:rPr>
                <w:i w:val="1"/>
                <w:iCs w:val="1"/>
                <w:rtl w:val="0"/>
              </w:rPr>
              <w:t xml:space="preserve">Security events are possible when the bank’s funds are exposed to human error, malicious activity, or environmental hazards. Phishing and poor encryption may compromise data, while misconfigurations could leak records. Natural disasters can disrupt supply chains, and even in a low-crime area, accidental mistakes may create opportunities for theft.</w:t>
            </w:r>
            <w:r w:rsidDel="00000000" w:rsidR="00000000" w:rsidRPr="00000000">
              <w:rPr>
                <w:rtl w:val="0"/>
              </w:rPr>
            </w:r>
          </w:p>
        </w:tc>
      </w:tr>
    </w:tbl>
    <w:p w:rsidR="00000000" w:rsidDel="00000000" w:rsidP="00000000" w:rsidRDefault="00000000" w:rsidRPr="00000000" w14:paraId="0000002F">
      <w:pPr>
        <w:ind w:left="-360" w:right="-360" w:firstLine="0"/>
        <w:rPr>
          <w:b w:val="1"/>
          <w:bCs w:val="1"/>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5">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7">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9">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1">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