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System Design Document — Revision 2</w:t>
      </w:r>
    </w:p>
    <w:p>
      <w:pPr>
        <w:spacing w:after="40"/>
      </w:pPr>
      <w:r>
        <w:rPr>
          <w:color w:val="2E5C8A"/>
          <w:sz w:val="26"/>
          <w:szCs w:val="26"/>
        </w:rPr>
        <w:t xml:space="preserve">AI-Powered MPLADS Anomaly Detection &amp; Risk Triage Platform</w:t>
      </w:r>
    </w:p>
    <w:p>
      <w:pPr>
        <w:spacing w:after="40"/>
      </w:pPr>
      <w:r>
        <w:rPr>
          <w:color w:val="666666"/>
          <w:sz w:val="20"/>
          <w:szCs w:val="20"/>
        </w:rPr>
        <w:t xml:space="preserve">SIH Problem Statement ID: SIH26102  |  Organization: MoSPI — Data Informatics &amp; Innovation Division</w:t>
      </w:r>
    </w:p>
    <w:p>
      <w:pPr>
        <w:spacing w:after="300"/>
      </w:pPr>
      <w:r>
        <w:rPr>
          <w:i/>
          <w:iCs/>
          <w:color w:val="666666"/>
          <w:sz w:val="20"/>
          <w:szCs w:val="20"/>
        </w:rPr>
        <w:t xml:space="preserve">This revision adds a Compliance Rules Engine, a Fund-Flow Anomaly Detector, staged (lifecycle) delay detection, a data-quality/confidence layer, a Risk / Impact / Priority score split, and an audit-log table — closing the gaps identified against the SIH26102 problem statement and MPLADS 2023 Guidelines.</w:t>
      </w:r>
    </w:p>
    <w:p>
      <w:pPr>
        <w:pStyle w:val="Heading1"/>
        <w:spacing w:after="160" w:before="360"/>
      </w:pPr>
      <w:r>
        <w:rPr>
          <w:b/>
          <w:bCs/>
          <w:color w:val="1F3864"/>
          <w:sz w:val="30"/>
          <w:szCs w:val="30"/>
        </w:rPr>
        <w:t xml:space="preserve">1. Introduction</w:t>
      </w:r>
    </w:p>
    <w:p>
      <w:pPr>
        <w:spacing w:after="120"/>
      </w:pPr>
      <w:r>
        <w:t xml:space="preserve">This document describes the system design for an AI-powered platform that detects anomalies, inefficiencies, and rule non-compliance in MPLADS works and prioritizes them for inspection. The system does not label works as “fraudulent.” Instead, it generates a risk score (0–100), an impact-weighted priority score, a risk level (Low / Medium / High / Insufficient Data), and reason codes to support human review and targeted inspection.</w:t>
      </w:r>
    </w:p>
    <w:p>
      <w:pPr>
        <w:spacing w:after="200"/>
      </w:pPr>
      <w:r>
        <w:rPr>
          <w:b/>
          <w:bCs/>
        </w:rPr>
        <w:t xml:space="preserve">The MVP pipeline is now: </w:t>
      </w:r>
      <w:r>
        <w:rPr>
          <w:b/>
          <w:bCs/>
          <w:color w:val="2E5C8A"/>
        </w:rPr>
        <w:t xml:space="preserve">Data → Clean → Data-Quality Score → Features → 5 Detection Modules → Risk / Impact / Priority Engine → Database → API → Dashboard → Human Review → Action → Audit Log.</w:t>
      </w:r>
      <w:r>
        <w:rPr>
          <w:b/>
          <w:bCs/>
          <w:color w:val="B15C00"/>
          <w:sz w:val="18"/>
          <w:szCs w:val="18"/>
        </w:rPr>
        <w:t xml:space="preserve">  [NEW]</w:t>
      </w:r>
    </w:p>
    <w:p>
      <w:pPr>
        <w:spacing w:after="120"/>
      </w:pPr>
      <w:r>
        <w:rPr>
          <w:i/>
          <w:iCs/>
          <w:color w:val="666666"/>
          <w:sz w:val="20"/>
          <w:szCs w:val="20"/>
        </w:rPr>
        <w:t xml:space="preserve">The previous version of this design covered three detection modules (Cost, Duplicate, Delay). This revision adds two modules — a Compliance Rules Engine and a Fund-Flow Anomaly Detector — that were identified as Core MVP requirements in the SIH26102 problem-statement analysis and are not optional add-ons.</w:t>
      </w:r>
    </w:p>
    <w:p>
      <w:pPr>
        <w:pStyle w:val="Heading1"/>
        <w:spacing w:after="160" w:before="360"/>
      </w:pPr>
      <w:r>
        <w:rPr>
          <w:b/>
          <w:bCs/>
          <w:color w:val="1F3864"/>
          <w:sz w:val="30"/>
          <w:szCs w:val="30"/>
        </w:rPr>
        <w:t xml:space="preserve">2. System Architecture Overview</w:t>
      </w:r>
    </w:p>
    <w:p>
      <w:pPr>
        <w:spacing w:after="120"/>
      </w:pPr>
      <w:r>
        <w:t xml:space="preserve">The system consists of the following major components:</w:t>
      </w:r>
    </w:p>
    <w:p>
      <w:pPr>
        <w:pStyle w:val="ListParagraph"/>
        <w:numPr>
          <w:ilvl w:val="0"/>
          <w:numId w:val="2"/>
        </w:numPr>
        <w:spacing w:after="60"/>
      </w:pPr>
      <w:r>
        <w:t xml:space="preserve">MPLADS Data Sources</w:t>
      </w:r>
    </w:p>
    <w:p>
      <w:pPr>
        <w:pStyle w:val="ListParagraph"/>
        <w:numPr>
          <w:ilvl w:val="0"/>
          <w:numId w:val="2"/>
        </w:numPr>
        <w:spacing w:after="60"/>
      </w:pPr>
      <w:r>
        <w:t xml:space="preserve">Data Ingestion Layer (Python / pandas)</w:t>
      </w:r>
    </w:p>
    <w:p>
      <w:pPr>
        <w:pStyle w:val="ListParagraph"/>
        <w:numPr>
          <w:ilvl w:val="0"/>
          <w:numId w:val="2"/>
        </w:numPr>
        <w:spacing w:after="60"/>
      </w:pPr>
      <w:r>
        <w:t xml:space="preserve">Data Quality &amp; Confidence Layer</w:t>
      </w:r>
      <w:r>
        <w:rPr>
          <w:b/>
          <w:bCs/>
          <w:color w:val="B15C00"/>
          <w:sz w:val="18"/>
          <w:szCs w:val="18"/>
        </w:rPr>
        <w:t xml:space="preserve">  [NEW]</w:t>
      </w:r>
    </w:p>
    <w:p>
      <w:pPr>
        <w:pStyle w:val="ListParagraph"/>
        <w:numPr>
          <w:ilvl w:val="0"/>
          <w:numId w:val="2"/>
        </w:numPr>
        <w:spacing w:after="60"/>
      </w:pPr>
      <w:r>
        <w:t xml:space="preserve">Feature Engineering (Python / scikit-learn)</w:t>
      </w:r>
    </w:p>
    <w:p>
      <w:pPr>
        <w:pStyle w:val="ListParagraph"/>
        <w:numPr>
          <w:ilvl w:val="0"/>
          <w:numId w:val="2"/>
        </w:numPr>
        <w:spacing w:after="60"/>
      </w:pPr>
      <w:r>
        <w:t xml:space="preserve">Detection Models (5 modules)</w:t>
      </w:r>
      <w:r>
        <w:rPr>
          <w:b/>
          <w:bCs/>
          <w:color w:val="8A6D00"/>
          <w:sz w:val="18"/>
          <w:szCs w:val="18"/>
        </w:rPr>
        <w:t xml:space="preserve">  [CHANGED]</w:t>
      </w:r>
    </w:p>
    <w:p>
      <w:pPr>
        <w:pStyle w:val="ListParagraph"/>
        <w:numPr>
          <w:ilvl w:val="1"/>
          <w:numId w:val="2"/>
        </w:numPr>
        <w:spacing w:after="60"/>
      </w:pPr>
      <w:r>
        <w:t xml:space="preserve">Cost Anomaly Detector</w:t>
      </w:r>
    </w:p>
    <w:p>
      <w:pPr>
        <w:pStyle w:val="ListParagraph"/>
        <w:numPr>
          <w:ilvl w:val="1"/>
          <w:numId w:val="2"/>
        </w:numPr>
        <w:spacing w:after="60"/>
      </w:pPr>
      <w:r>
        <w:t xml:space="preserve">Duplicate / Near-Duplicate Detector (multi-signal)</w:t>
      </w:r>
    </w:p>
    <w:p>
      <w:pPr>
        <w:pStyle w:val="ListParagraph"/>
        <w:numPr>
          <w:ilvl w:val="1"/>
          <w:numId w:val="2"/>
        </w:numPr>
        <w:spacing w:after="60"/>
      </w:pPr>
      <w:r>
        <w:t xml:space="preserve">Delay / Lifecycle Detector</w:t>
      </w:r>
      <w:r>
        <w:rPr>
          <w:b/>
          <w:bCs/>
          <w:color w:val="8A6D00"/>
          <w:sz w:val="18"/>
          <w:szCs w:val="18"/>
        </w:rPr>
        <w:t xml:space="preserve">  [CHANGED]</w:t>
      </w:r>
    </w:p>
    <w:p>
      <w:pPr>
        <w:pStyle w:val="ListParagraph"/>
        <w:numPr>
          <w:ilvl w:val="1"/>
          <w:numId w:val="2"/>
        </w:numPr>
        <w:spacing w:after="60"/>
      </w:pPr>
      <w:r>
        <w:t xml:space="preserve">Fund-Flow Anomaly Detector</w:t>
      </w:r>
      <w:r>
        <w:rPr>
          <w:b/>
          <w:bCs/>
          <w:color w:val="B15C00"/>
          <w:sz w:val="18"/>
          <w:szCs w:val="18"/>
        </w:rPr>
        <w:t xml:space="preserve">  [NEW]</w:t>
      </w:r>
    </w:p>
    <w:p>
      <w:pPr>
        <w:pStyle w:val="ListParagraph"/>
        <w:numPr>
          <w:ilvl w:val="1"/>
          <w:numId w:val="2"/>
        </w:numPr>
        <w:spacing w:after="60"/>
      </w:pPr>
      <w:r>
        <w:t xml:space="preserve">Compliance Rules Engine</w:t>
      </w:r>
      <w:r>
        <w:rPr>
          <w:b/>
          <w:bCs/>
          <w:color w:val="B15C00"/>
          <w:sz w:val="18"/>
          <w:szCs w:val="18"/>
        </w:rPr>
        <w:t xml:space="preserve">  [NEW]</w:t>
      </w:r>
    </w:p>
    <w:p>
      <w:pPr>
        <w:pStyle w:val="ListParagraph"/>
        <w:numPr>
          <w:ilvl w:val="0"/>
          <w:numId w:val="2"/>
        </w:numPr>
        <w:spacing w:after="60"/>
      </w:pPr>
      <w:r>
        <w:t xml:space="preserve">Risk / Impact / Priority Engine</w:t>
      </w:r>
      <w:r>
        <w:rPr>
          <w:b/>
          <w:bCs/>
          <w:color w:val="8A6D00"/>
          <w:sz w:val="18"/>
          <w:szCs w:val="18"/>
        </w:rPr>
        <w:t xml:space="preserve">  [CHANGED]</w:t>
      </w:r>
    </w:p>
    <w:p>
      <w:pPr>
        <w:pStyle w:val="ListParagraph"/>
        <w:numPr>
          <w:ilvl w:val="0"/>
          <w:numId w:val="2"/>
        </w:numPr>
        <w:spacing w:after="60"/>
      </w:pPr>
      <w:r>
        <w:t xml:space="preserve">PostgreSQL Database</w:t>
      </w:r>
    </w:p>
    <w:p>
      <w:pPr>
        <w:pStyle w:val="ListParagraph"/>
        <w:numPr>
          <w:ilvl w:val="0"/>
          <w:numId w:val="2"/>
        </w:numPr>
        <w:spacing w:after="60"/>
      </w:pPr>
      <w:r>
        <w:t xml:space="preserve">Backend API (Spring Boot + Spring Security)</w:t>
      </w:r>
    </w:p>
    <w:p>
      <w:pPr>
        <w:pStyle w:val="ListParagraph"/>
        <w:numPr>
          <w:ilvl w:val="0"/>
          <w:numId w:val="2"/>
        </w:numPr>
        <w:spacing w:after="60"/>
      </w:pPr>
      <w:r>
        <w:t xml:space="preserve">Frontend Dashboards (React)</w:t>
      </w:r>
    </w:p>
    <w:p>
      <w:pPr>
        <w:pStyle w:val="ListParagraph"/>
        <w:numPr>
          <w:ilvl w:val="0"/>
          <w:numId w:val="2"/>
        </w:numPr>
        <w:spacing w:after="60"/>
      </w:pPr>
      <w:r>
        <w:t xml:space="preserve">Action / Inspection Layer</w:t>
      </w:r>
    </w:p>
    <w:p>
      <w:pPr>
        <w:pStyle w:val="ListParagraph"/>
        <w:numPr>
          <w:ilvl w:val="0"/>
          <w:numId w:val="2"/>
        </w:numPr>
        <w:spacing w:after="60"/>
      </w:pPr>
      <w:r>
        <w:t xml:space="preserve">Audit Log Layer</w:t>
      </w:r>
      <w:r>
        <w:rPr>
          <w:b/>
          <w:bCs/>
          <w:color w:val="B15C00"/>
          <w:sz w:val="18"/>
          <w:szCs w:val="18"/>
        </w:rPr>
        <w:t xml:space="preserve">  [NEW]</w:t>
      </w:r>
    </w:p>
    <w:p>
      <w:pPr>
        <w:pStyle w:val="Heading1"/>
        <w:spacing w:after="160" w:before="360"/>
      </w:pPr>
      <w:r>
        <w:rPr>
          <w:b/>
          <w:bCs/>
          <w:color w:val="1F3864"/>
          <w:sz w:val="30"/>
          <w:szCs w:val="30"/>
        </w:rPr>
        <w:t xml:space="preserve">3. Component Details</w:t>
      </w:r>
    </w:p>
    <w:p>
      <w:pPr>
        <w:pStyle w:val="Heading2"/>
        <w:spacing w:after="120" w:before="260"/>
      </w:pPr>
      <w:r>
        <w:rPr>
          <w:b/>
          <w:bCs/>
          <w:color w:val="2E5C8A"/>
          <w:sz w:val="25"/>
          <w:szCs w:val="25"/>
        </w:rPr>
        <w:t xml:space="preserve">3.1 MPLADS Data Sources</w:t>
      </w:r>
    </w:p>
    <w:p>
      <w:pPr>
        <w:spacing w:after="120"/>
      </w:pPr>
      <w:r>
        <w:t xml:space="preserve">Purpose: Source of truth for MPLADS works, fund releases, and related metadata. Unchanged from the previous revision.</w:t>
      </w:r>
    </w:p>
    <w:p>
      <w:pPr>
        <w:pStyle w:val="ListParagraph"/>
        <w:numPr>
          <w:ilvl w:val="0"/>
          <w:numId w:val="2"/>
        </w:numPr>
        <w:spacing w:after="60"/>
      </w:pPr>
      <w:r>
        <w:t xml:space="preserve">data.gov.in / dataful.in – MPLADS datasets</w:t>
      </w:r>
    </w:p>
    <w:p>
      <w:pPr>
        <w:pStyle w:val="ListParagraph"/>
        <w:numPr>
          <w:ilvl w:val="0"/>
          <w:numId w:val="2"/>
        </w:numPr>
        <w:spacing w:after="60"/>
      </w:pPr>
      <w:r>
        <w:t xml:space="preserve">eSAKSHI – public data on works and implementation</w:t>
      </w:r>
    </w:p>
    <w:p>
      <w:pPr>
        <w:pStyle w:val="ListParagraph"/>
        <w:numPr>
          <w:ilvl w:val="0"/>
          <w:numId w:val="2"/>
        </w:numPr>
        <w:spacing w:after="60"/>
      </w:pPr>
      <w:r>
        <w:t xml:space="preserve">Any additional MoSPI / state datasets (if integrated later)</w:t>
      </w:r>
    </w:p>
    <w:p>
      <w:pPr>
        <w:spacing w:after="120"/>
      </w:pPr>
      <w:r>
        <w:t xml:space="preserve">Data types: work details (ID, description, location, constituency, district, state), sanctioned &amp; actual costs, lifecycle dates (recommendation, sanction, start, milestones, completion, handover), fund release details, implementing-agency information (where available).</w:t>
      </w:r>
    </w:p>
    <w:p>
      <w:pPr>
        <w:pStyle w:val="Heading2"/>
        <w:spacing w:after="120" w:before="260"/>
      </w:pPr>
      <w:r>
        <w:rPr>
          <w:b/>
          <w:bCs/>
          <w:color w:val="2E5C8A"/>
          <w:sz w:val="25"/>
          <w:szCs w:val="25"/>
        </w:rPr>
        <w:t xml:space="preserve">3.2 Data Ingestion Layer</w:t>
      </w:r>
    </w:p>
    <w:p>
      <w:pPr>
        <w:spacing w:after="120"/>
      </w:pPr>
      <w:r>
        <w:t xml:space="preserve">Technology: Python, pandas. Responsibilities: collect, validate, clean, and normalize data as before, plus a new confidence-scoring pass.</w:t>
      </w:r>
    </w:p>
    <w:p>
      <w:pPr>
        <w:pStyle w:val="ListParagraph"/>
        <w:numPr>
          <w:ilvl w:val="0"/>
          <w:numId w:val="2"/>
        </w:numPr>
        <w:spacing w:after="60"/>
      </w:pPr>
      <w:r>
        <w:t xml:space="preserve">Collect data from sources (APIs, CSVs, or other formats)</w:t>
      </w:r>
    </w:p>
    <w:p>
      <w:pPr>
        <w:pStyle w:val="ListParagraph"/>
        <w:numPr>
          <w:ilvl w:val="0"/>
          <w:numId w:val="2"/>
        </w:numPr>
        <w:spacing w:after="60"/>
      </w:pPr>
      <w:r>
        <w:t xml:space="preserve">Validate schema and mandatory fields</w:t>
      </w:r>
    </w:p>
    <w:p>
      <w:pPr>
        <w:pStyle w:val="ListParagraph"/>
        <w:numPr>
          <w:ilvl w:val="0"/>
          <w:numId w:val="2"/>
        </w:numPr>
        <w:spacing w:after="60"/>
      </w:pPr>
      <w:r>
        <w:t xml:space="preserve">Clean: handle missing values, standardize categorical codes, normalize cost units and date formats</w:t>
      </w:r>
    </w:p>
    <w:p>
      <w:pPr>
        <w:pStyle w:val="ListParagraph"/>
        <w:numPr>
          <w:ilvl w:val="0"/>
          <w:numId w:val="2"/>
        </w:numPr>
        <w:spacing w:after="60"/>
      </w:pPr>
      <w:r>
        <w:t xml:space="preserve">Normalize: map constituencies to districts/states; ensure consistent IDs for works and fund releases</w:t>
      </w:r>
    </w:p>
    <w:p>
      <w:pPr>
        <w:pStyle w:val="ListParagraph"/>
        <w:numPr>
          <w:ilvl w:val="0"/>
          <w:numId w:val="2"/>
        </w:numPr>
        <w:spacing w:after="60"/>
      </w:pPr>
      <w:r>
        <w:t xml:space="preserve">Compute a per-record data-quality / completeness score at ingestion time (see 3.2.1)</w:t>
      </w:r>
      <w:r>
        <w:rPr>
          <w:b/>
          <w:bCs/>
          <w:color w:val="B15C00"/>
          <w:sz w:val="18"/>
          <w:szCs w:val="18"/>
        </w:rPr>
        <w:t xml:space="preserve">  [NEW]</w:t>
      </w:r>
    </w:p>
    <w:p>
      <w:pPr>
        <w:pStyle w:val="Heading3"/>
        <w:spacing w:after="100" w:before="200"/>
      </w:pPr>
      <w:r>
        <w:rPr>
          <w:b/>
          <w:bCs/>
          <w:color w:val="1F3864"/>
          <w:sz w:val="22"/>
          <w:szCs w:val="22"/>
        </w:rPr>
        <w:t xml:space="preserve">3.2.1 Data Quality &amp; Confidence Layer  (NEW)</w:t>
      </w:r>
    </w:p>
    <w:p>
      <w:pPr>
        <w:spacing w:after="120"/>
      </w:pPr>
      <w:r>
        <w:t xml:space="preserve">Rationale: officials must be able to distinguish “low risk” from “not enough data to assess risk.” A district with poor reporting should not appear falsely compliant.</w:t>
      </w:r>
    </w:p>
    <w:p>
      <w:pPr>
        <w:pStyle w:val="ListParagraph"/>
        <w:numPr>
          <w:ilvl w:val="0"/>
          <w:numId w:val="2"/>
        </w:numPr>
        <w:spacing w:after="60"/>
      </w:pPr>
      <w:r>
        <w:t xml:space="preserve">For each work record, compute completeness across a defined set of required fields (approval date, agency, cost, status, location, progress records, payment records).</w:t>
      </w:r>
    </w:p>
    <w:p>
      <w:pPr>
        <w:pStyle w:val="ListParagraph"/>
        <w:numPr>
          <w:ilvl w:val="0"/>
          <w:numId w:val="2"/>
        </w:numPr>
        <w:spacing w:after="60"/>
      </w:pPr>
      <w:r>
        <w:t xml:space="preserve">Emit a data_confidence score (0–100) and a completeness_flag per field group.</w:t>
      </w:r>
    </w:p>
    <w:p>
      <w:pPr>
        <w:pStyle w:val="ListParagraph"/>
        <w:numPr>
          <w:ilvl w:val="0"/>
          <w:numId w:val="2"/>
        </w:numPr>
        <w:spacing w:after="60"/>
      </w:pPr>
      <w:r>
        <w:t xml:space="preserve">Records below a configurable confidence threshold are routed to risk level = INSUFFICIENT_DATA instead of being scored as Low risk.</w:t>
      </w:r>
    </w:p>
    <w:p>
      <w:pPr>
        <w:pStyle w:val="ListParagraph"/>
        <w:numPr>
          <w:ilvl w:val="0"/>
          <w:numId w:val="2"/>
        </w:numPr>
        <w:spacing w:after="60"/>
      </w:pPr>
      <w:r>
        <w:t xml:space="preserve">Aggregate confidence is rolled up to district / state / agency level for the Data Quality dashboard page.</w:t>
      </w:r>
    </w:p>
    <w:p>
      <w:pPr>
        <w:pStyle w:val="Heading2"/>
        <w:spacing w:after="120" w:before="260"/>
      </w:pPr>
      <w:r>
        <w:rPr>
          <w:b/>
          <w:bCs/>
          <w:color w:val="2E5C8A"/>
          <w:sz w:val="25"/>
          <w:szCs w:val="25"/>
        </w:rPr>
        <w:t xml:space="preserve">3.3 Feature Engineering</w:t>
      </w:r>
    </w:p>
    <w:p>
      <w:pPr>
        <w:spacing w:after="120"/>
      </w:pPr>
      <w:r>
        <w:t xml:space="preserve">Technology: Python, pandas, scikit-learn. Purpose: transform raw work records into features for the five detection modules.</w:t>
      </w:r>
    </w:p>
    <w:p>
      <w:pPr>
        <w:pStyle w:val="Heading3"/>
        <w:spacing w:after="100" w:before="200"/>
      </w:pPr>
      <w:r>
        <w:rPr>
          <w:b/>
          <w:bCs/>
          <w:color w:val="1F3864"/>
          <w:sz w:val="22"/>
          <w:szCs w:val="22"/>
        </w:rPr>
        <w:t xml:space="preserve">Cost Features</w:t>
      </w:r>
    </w:p>
    <w:p>
      <w:pPr>
        <w:pStyle w:val="ListParagraph"/>
        <w:numPr>
          <w:ilvl w:val="0"/>
          <w:numId w:val="2"/>
        </w:numPr>
        <w:spacing w:after="60"/>
      </w:pPr>
      <w:r>
        <w:t xml:space="preserve">Cost per unit (if applicable)</w:t>
      </w:r>
    </w:p>
    <w:p>
      <w:pPr>
        <w:pStyle w:val="ListParagraph"/>
        <w:numPr>
          <w:ilvl w:val="0"/>
          <w:numId w:val="2"/>
        </w:numPr>
        <w:spacing w:after="60"/>
      </w:pPr>
      <w:r>
        <w:t xml:space="preserve">Actual vs sanctioned cost ratio</w:t>
      </w:r>
    </w:p>
    <w:p>
      <w:pPr>
        <w:pStyle w:val="ListParagraph"/>
        <w:numPr>
          <w:ilvl w:val="0"/>
          <w:numId w:val="2"/>
        </w:numPr>
        <w:spacing w:after="60"/>
      </w:pPr>
      <w:r>
        <w:t xml:space="preserve">Deviation from median cost for similar works, normalized by district / state / work category / financial year (median absolute deviation, not raw z-score, to reduce outlier sensitivity)</w:t>
      </w:r>
    </w:p>
    <w:p>
      <w:pPr>
        <w:pStyle w:val="ListParagraph"/>
        <w:numPr>
          <w:ilvl w:val="0"/>
          <w:numId w:val="2"/>
        </w:numPr>
        <w:spacing w:after="60"/>
      </w:pPr>
      <w:r>
        <w:t xml:space="preserve">Inflation-adjusted cost comparisons</w:t>
      </w:r>
    </w:p>
    <w:p>
      <w:pPr>
        <w:pStyle w:val="Heading3"/>
        <w:spacing w:after="100" w:before="200"/>
      </w:pPr>
      <w:r>
        <w:rPr>
          <w:b/>
          <w:bCs/>
          <w:color w:val="1F3864"/>
          <w:sz w:val="22"/>
          <w:szCs w:val="22"/>
        </w:rPr>
        <w:t xml:space="preserve">Time / Lifecycle Features  (CHANGED — stage-aware)</w:t>
      </w:r>
    </w:p>
    <w:p>
      <w:pPr>
        <w:pStyle w:val="ListParagraph"/>
        <w:numPr>
          <w:ilvl w:val="0"/>
          <w:numId w:val="2"/>
        </w:numPr>
        <w:spacing w:after="60"/>
      </w:pPr>
      <w:r>
        <w:t xml:space="preserve">Recommendation-to-sanction gap (target: ≤ 45 days per MPLADS Guidelines 2023, Para 3.2.4)</w:t>
      </w:r>
    </w:p>
    <w:p>
      <w:pPr>
        <w:pStyle w:val="ListParagraph"/>
        <w:numPr>
          <w:ilvl w:val="0"/>
          <w:numId w:val="2"/>
        </w:numPr>
        <w:spacing w:after="60"/>
      </w:pPr>
      <w:r>
        <w:t xml:space="preserve">Sanction-to-commencement gap</w:t>
      </w:r>
    </w:p>
    <w:p>
      <w:pPr>
        <w:pStyle w:val="ListParagraph"/>
        <w:numPr>
          <w:ilvl w:val="0"/>
          <w:numId w:val="2"/>
        </w:numPr>
        <w:spacing w:after="60"/>
      </w:pPr>
      <w:r>
        <w:t xml:space="preserve">Commencement-to-completion duration (target: ≤ 1 year per Para 3.2.12, absent recorded justification)</w:t>
      </w:r>
    </w:p>
    <w:p>
      <w:pPr>
        <w:pStyle w:val="ListParagraph"/>
        <w:numPr>
          <w:ilvl w:val="0"/>
          <w:numId w:val="2"/>
        </w:numPr>
        <w:spacing w:after="60"/>
      </w:pPr>
      <w:r>
        <w:t xml:space="preserve">Gaps between milestone / progress-update dates</w:t>
      </w:r>
    </w:p>
    <w:p>
      <w:pPr>
        <w:pStyle w:val="ListParagraph"/>
        <w:numPr>
          <w:ilvl w:val="0"/>
          <w:numId w:val="2"/>
        </w:numPr>
        <w:spacing w:after="60"/>
      </w:pPr>
      <w:r>
        <w:t xml:space="preserve">Time between fund releases vs recorded progress</w:t>
      </w:r>
    </w:p>
    <w:p>
      <w:pPr>
        <w:pStyle w:val="ListParagraph"/>
        <w:numPr>
          <w:ilvl w:val="0"/>
          <w:numId w:val="2"/>
        </w:numPr>
        <w:spacing w:after="60"/>
      </w:pPr>
      <w:r>
        <w:t xml:space="preserve">Per-stage delay flag (sanction / start / execution / payment / closure) rather than one aggregate delay number</w:t>
      </w:r>
    </w:p>
    <w:p>
      <w:pPr>
        <w:pStyle w:val="Heading3"/>
        <w:spacing w:after="100" w:before="200"/>
      </w:pPr>
      <w:r>
        <w:rPr>
          <w:b/>
          <w:bCs/>
          <w:color w:val="1F3864"/>
          <w:sz w:val="22"/>
          <w:szCs w:val="22"/>
        </w:rPr>
        <w:t xml:space="preserve">Text Features</w:t>
      </w:r>
    </w:p>
    <w:p>
      <w:pPr>
        <w:pStyle w:val="ListParagraph"/>
        <w:numPr>
          <w:ilvl w:val="0"/>
          <w:numId w:val="2"/>
        </w:numPr>
        <w:spacing w:after="60"/>
      </w:pPr>
      <w:r>
        <w:t xml:space="preserve">Normalized work descriptions</w:t>
      </w:r>
    </w:p>
    <w:p>
      <w:pPr>
        <w:pStyle w:val="ListParagraph"/>
        <w:numPr>
          <w:ilvl w:val="0"/>
          <w:numId w:val="2"/>
        </w:numPr>
        <w:spacing w:after="60"/>
      </w:pPr>
      <w:r>
        <w:t xml:space="preserve">Location text</w:t>
      </w:r>
    </w:p>
    <w:p>
      <w:pPr>
        <w:pStyle w:val="ListParagraph"/>
        <w:numPr>
          <w:ilvl w:val="0"/>
          <w:numId w:val="2"/>
        </w:numPr>
        <w:spacing w:after="60"/>
      </w:pPr>
      <w:r>
        <w:t xml:space="preserve">Implementing-agency names (where available)</w:t>
      </w:r>
    </w:p>
    <w:p>
      <w:pPr>
        <w:pStyle w:val="ListParagraph"/>
        <w:numPr>
          <w:ilvl w:val="0"/>
          <w:numId w:val="2"/>
        </w:numPr>
        <w:spacing w:after="60"/>
      </w:pPr>
      <w:r>
        <w:t xml:space="preserve">TF-IDF vectors or embeddings for duplicate detection</w:t>
      </w:r>
    </w:p>
    <w:p>
      <w:pPr>
        <w:pStyle w:val="Heading3"/>
        <w:spacing w:after="100" w:before="200"/>
      </w:pPr>
      <w:r>
        <w:rPr>
          <w:b/>
          <w:bCs/>
          <w:color w:val="1F3864"/>
          <w:sz w:val="22"/>
          <w:szCs w:val="22"/>
        </w:rPr>
        <w:t xml:space="preserve">Fund Utilization Features</w:t>
      </w:r>
    </w:p>
    <w:p>
      <w:pPr>
        <w:pStyle w:val="ListParagraph"/>
        <w:numPr>
          <w:ilvl w:val="0"/>
          <w:numId w:val="2"/>
        </w:numPr>
        <w:spacing w:after="60"/>
      </w:pPr>
      <w:r>
        <w:t xml:space="preserve">Frequency and size of fund releases</w:t>
      </w:r>
    </w:p>
    <w:p>
      <w:pPr>
        <w:pStyle w:val="ListParagraph"/>
        <w:numPr>
          <w:ilvl w:val="0"/>
          <w:numId w:val="2"/>
        </w:numPr>
        <w:spacing w:after="60"/>
      </w:pPr>
      <w:r>
        <w:t xml:space="preserve">Unspent balance patterns and inactivity duration</w:t>
      </w:r>
    </w:p>
    <w:p>
      <w:pPr>
        <w:pStyle w:val="ListParagraph"/>
        <w:numPr>
          <w:ilvl w:val="0"/>
          <w:numId w:val="2"/>
        </w:numPr>
        <w:spacing w:after="60"/>
      </w:pPr>
      <w:r>
        <w:t xml:space="preserve">Ratio of funds released vs recorded work progress</w:t>
      </w:r>
    </w:p>
    <w:p>
      <w:pPr>
        <w:pStyle w:val="ListParagraph"/>
        <w:numPr>
          <w:ilvl w:val="0"/>
          <w:numId w:val="2"/>
        </w:numPr>
        <w:spacing w:after="60"/>
      </w:pPr>
      <w:r>
        <w:t xml:space="preserve">Released amount vs sanctioned amount consistency</w:t>
      </w:r>
    </w:p>
    <w:p>
      <w:pPr>
        <w:pStyle w:val="Heading3"/>
        <w:spacing w:after="100" w:before="200"/>
      </w:pPr>
      <w:r>
        <w:rPr>
          <w:b/>
          <w:bCs/>
          <w:color w:val="1F3864"/>
          <w:sz w:val="22"/>
          <w:szCs w:val="22"/>
        </w:rPr>
        <w:t xml:space="preserve">Compliance Features</w:t>
      </w:r>
      <w:r>
        <w:rPr>
          <w:b/>
          <w:bCs/>
          <w:color w:val="B15C00"/>
          <w:sz w:val="18"/>
          <w:szCs w:val="18"/>
        </w:rPr>
        <w:t xml:space="preserve">  [NEW]</w:t>
      </w:r>
    </w:p>
    <w:p>
      <w:pPr>
        <w:pStyle w:val="ListParagraph"/>
        <w:numPr>
          <w:ilvl w:val="0"/>
          <w:numId w:val="2"/>
        </w:numPr>
        <w:spacing w:after="60"/>
      </w:pPr>
      <w:r>
        <w:t xml:space="preserve">Keyword / category match against non-permissible work list (religious, land acquisition/compensation, residential, commercial, recurring expenditure, grants/loans, Swagat Dwars, unauthorized colonies)</w:t>
      </w:r>
    </w:p>
    <w:p>
      <w:pPr>
        <w:pStyle w:val="ListParagraph"/>
        <w:numPr>
          <w:ilvl w:val="0"/>
          <w:numId w:val="2"/>
        </w:numPr>
        <w:spacing w:after="60"/>
      </w:pPr>
      <w:r>
        <w:t xml:space="preserve">Sanction amount vs MP annual entitlement (₹5 crore/year) check</w:t>
      </w:r>
    </w:p>
    <w:p>
      <w:pPr>
        <w:pStyle w:val="ListParagraph"/>
        <w:numPr>
          <w:ilvl w:val="0"/>
          <w:numId w:val="2"/>
        </w:numPr>
        <w:spacing w:after="60"/>
      </w:pPr>
      <w:r>
        <w:t xml:space="preserve">Missing mandatory-field indicators (agency, district, approval date)</w:t>
      </w:r>
    </w:p>
    <w:p>
      <w:pPr>
        <w:pStyle w:val="ListParagraph"/>
        <w:numPr>
          <w:ilvl w:val="0"/>
          <w:numId w:val="2"/>
        </w:numPr>
        <w:spacing w:after="60"/>
      </w:pPr>
      <w:r>
        <w:t xml:space="preserve">Completion-timeline violation indicator (feeds both Delay and Compliance modules)</w:t>
      </w:r>
    </w:p>
    <w:p>
      <w:pPr>
        <w:spacing w:after="120"/>
      </w:pPr>
      <w:r>
        <w:rPr>
          <w:i/>
          <w:iCs/>
          <w:color w:val="666666"/>
          <w:sz w:val="20"/>
          <w:szCs w:val="20"/>
        </w:rPr>
        <w:t xml:space="preserve">Output: a feature matrix per work record, stored temporarily for modeling.</w:t>
      </w:r>
    </w:p>
    <w:p>
      <w:pPr>
        <w:pStyle w:val="Heading2"/>
        <w:spacing w:after="120" w:before="260"/>
      </w:pPr>
      <w:r>
        <w:rPr>
          <w:b/>
          <w:bCs/>
          <w:color w:val="2E5C8A"/>
          <w:sz w:val="25"/>
          <w:szCs w:val="25"/>
        </w:rPr>
        <w:t xml:space="preserve">3.4 Detection Models</w:t>
      </w:r>
    </w:p>
    <w:p>
      <w:pPr>
        <w:spacing w:after="120"/>
      </w:pPr>
      <w:r>
        <w:rPr>
          <w:i/>
          <w:iCs/>
          <w:color w:val="666666"/>
          <w:sz w:val="20"/>
          <w:szCs w:val="20"/>
        </w:rPr>
        <w:t xml:space="preserve">Five modules now analyze the engineered features in parallel, up from three in the previous revision. This directly closes the gap against the SIH26102 problem statement, which requires compliance monitoring and fund-utilization analysis as first-class capabilities alongside cost, duplicate, and delay detection.</w:t>
      </w:r>
    </w:p>
    <w:p>
      <w:pPr>
        <w:pStyle w:val="Heading3"/>
        <w:spacing w:after="100" w:before="200"/>
      </w:pPr>
      <w:r>
        <w:rPr>
          <w:b/>
          <w:bCs/>
          <w:color w:val="1F3864"/>
          <w:sz w:val="22"/>
          <w:szCs w:val="22"/>
        </w:rPr>
        <w:t xml:space="preserve">3.4.1 Cost Anomaly Detector</w:t>
      </w:r>
    </w:p>
    <w:p>
      <w:pPr>
        <w:spacing w:after="120"/>
      </w:pPr>
      <w:r>
        <w:t xml:space="preserve">Goal: identify works with unusually high or suspicious costs, normalized by category/district/state/year.</w:t>
      </w:r>
    </w:p>
    <w:p>
      <w:pPr>
        <w:pStyle w:val="ListParagraph"/>
        <w:numPr>
          <w:ilvl w:val="0"/>
          <w:numId w:val="2"/>
        </w:numPr>
        <w:spacing w:after="60"/>
      </w:pPr>
      <w:r>
        <w:t xml:space="preserve">Statistical rules (e.g., cost &gt; median + 3× MAD for similar works)</w:t>
      </w:r>
    </w:p>
    <w:p>
      <w:pPr>
        <w:pStyle w:val="ListParagraph"/>
        <w:numPr>
          <w:ilvl w:val="0"/>
          <w:numId w:val="2"/>
        </w:numPr>
        <w:spacing w:after="60"/>
      </w:pPr>
      <w:r>
        <w:t xml:space="preserve">Unsupervised model: Isolation Forest on cost-related features</w:t>
      </w:r>
    </w:p>
    <w:p>
      <w:pPr>
        <w:spacing w:after="120"/>
      </w:pPr>
      <w:r>
        <w:t xml:space="preserve">Outputs: cost_anomaly_score (numeric); flags such as COST_OUTLIER_HIGH, COST_OUTLIER_MODERATE.</w:t>
      </w:r>
    </w:p>
    <w:p>
      <w:pPr>
        <w:pStyle w:val="Heading3"/>
        <w:spacing w:after="100" w:before="200"/>
      </w:pPr>
      <w:r>
        <w:rPr>
          <w:b/>
          <w:bCs/>
          <w:color w:val="1F3864"/>
          <w:sz w:val="22"/>
          <w:szCs w:val="22"/>
        </w:rPr>
        <w:t xml:space="preserve">3.4.2 Duplicate / Near-Duplicate Detector  (CHANGED — multi-signal)</w:t>
      </w:r>
    </w:p>
    <w:p>
      <w:pPr>
        <w:spacing w:after="120"/>
      </w:pPr>
      <w:r>
        <w:t xml:space="preserve">Goal: detect potentially duplicate or highly similar works. Text similarity alone produces false positives, so this module now combines text with structured signals in a staged pipeline.</w:t>
      </w:r>
    </w:p>
    <w:p>
      <w:pPr>
        <w:pStyle w:val="ListParagraph"/>
        <w:numPr>
          <w:ilvl w:val="0"/>
          <w:numId w:val="2"/>
        </w:numPr>
        <w:spacing w:after="60"/>
      </w:pPr>
      <w:r>
        <w:t xml:space="preserve">Stage 1 — Blocking: group candidate pairs by district, agency, category, and time window to avoid full O(n²) comparison</w:t>
      </w:r>
    </w:p>
    <w:p>
      <w:pPr>
        <w:pStyle w:val="ListParagraph"/>
        <w:numPr>
          <w:ilvl w:val="0"/>
          <w:numId w:val="2"/>
        </w:numPr>
        <w:spacing w:after="60"/>
      </w:pPr>
      <w:r>
        <w:t xml:space="preserve">Stage 2 — Candidate generation: TF-IDF / n-gram similarity on work name and description</w:t>
      </w:r>
    </w:p>
    <w:p>
      <w:pPr>
        <w:pStyle w:val="ListParagraph"/>
        <w:numPr>
          <w:ilvl w:val="0"/>
          <w:numId w:val="2"/>
        </w:numPr>
        <w:spacing w:after="60"/>
      </w:pPr>
      <w:r>
        <w:t xml:space="preserve">Stage 3 — Re-ranking: sentence-embedding similarity on the surviving candidates</w:t>
      </w:r>
    </w:p>
    <w:p>
      <w:pPr>
        <w:pStyle w:val="ListParagraph"/>
        <w:numPr>
          <w:ilvl w:val="0"/>
          <w:numId w:val="2"/>
        </w:numPr>
        <w:spacing w:after="60"/>
      </w:pPr>
      <w:r>
        <w:t xml:space="preserve">Stage 4 — Structured corroboration: amount similarity, location match, agency match, sanction-date proximity</w:t>
      </w:r>
    </w:p>
    <w:p>
      <w:pPr>
        <w:spacing w:after="120"/>
      </w:pPr>
      <w:r>
        <w:t xml:space="preserve">Outputs: duplicate_cluster_id, similarity_score, matched work IDs, component-level match flags (text/amount/location/agency/date), flag: POSSIBLE_DUPLICATE. Presented to officers as a side-by-side comparison, never as an automatic duplicate determination.</w:t>
      </w:r>
    </w:p>
    <w:p>
      <w:pPr>
        <w:pStyle w:val="Heading3"/>
        <w:spacing w:after="100" w:before="200"/>
      </w:pPr>
      <w:r>
        <w:rPr>
          <w:b/>
          <w:bCs/>
          <w:color w:val="1F3864"/>
          <w:sz w:val="22"/>
          <w:szCs w:val="22"/>
        </w:rPr>
        <w:t xml:space="preserve">3.4.3 Delay / Lifecycle Detector  (CHANGED — stage-aware)</w:t>
      </w:r>
    </w:p>
    <w:p>
      <w:pPr>
        <w:spacing w:after="120"/>
      </w:pPr>
      <w:r>
        <w:t xml:space="preserve">Goal: identify works with significant delays at a specific lifecycle stage, and distinguish genuinely stalled works from those with legitimate extensions (difficult terrain, land disputes, elections, weather).</w:t>
      </w:r>
    </w:p>
    <w:p>
      <w:pPr>
        <w:pStyle w:val="ListParagraph"/>
        <w:numPr>
          <w:ilvl w:val="0"/>
          <w:numId w:val="2"/>
        </w:numPr>
        <w:spacing w:after="60"/>
      </w:pPr>
      <w:r>
        <w:t xml:space="preserve">Rule: sanction delay if recommendation-to-approval gap &gt; 45 days</w:t>
      </w:r>
    </w:p>
    <w:p>
      <w:pPr>
        <w:pStyle w:val="ListParagraph"/>
        <w:numPr>
          <w:ilvl w:val="0"/>
          <w:numId w:val="2"/>
        </w:numPr>
        <w:spacing w:after="60"/>
      </w:pPr>
      <w:r>
        <w:t xml:space="preserve">Rule: completion delay if commencement-to-completion gap &gt; 1 year without a recorded justification</w:t>
      </w:r>
    </w:p>
    <w:p>
      <w:pPr>
        <w:pStyle w:val="ListParagraph"/>
        <w:numPr>
          <w:ilvl w:val="0"/>
          <w:numId w:val="2"/>
        </w:numPr>
        <w:spacing w:after="60"/>
      </w:pPr>
      <w:r>
        <w:t xml:space="preserve">Statistical thresholds on execution and payment-stage gaps</w:t>
      </w:r>
    </w:p>
    <w:p>
      <w:pPr>
        <w:spacing w:after="120"/>
      </w:pPr>
      <w:r>
        <w:t xml:space="preserve">Outputs: delay_score, per-stage delay flags (SANCTION_DELAY, START_DELAY, EXECUTION_DELAY, PAYMENT_DELAY, CLOSURE_DELAY), STALLED_PROJECT flag when elapsed time is high and recorded progress is near zero.</w:t>
      </w:r>
    </w:p>
    <w:p>
      <w:pPr>
        <w:pStyle w:val="Heading3"/>
        <w:spacing w:after="100" w:before="200"/>
      </w:pPr>
      <w:r>
        <w:rPr>
          <w:b/>
          <w:bCs/>
          <w:color w:val="1F3864"/>
          <w:sz w:val="22"/>
          <w:szCs w:val="22"/>
        </w:rPr>
        <w:t xml:space="preserve">3.4.4 Fund-Flow Anomaly Detector  (NEW)</w:t>
      </w:r>
    </w:p>
    <w:p>
      <w:pPr>
        <w:spacing w:after="120"/>
      </w:pPr>
      <w:r>
        <w:t xml:space="preserve">Goal: identify inconsistent or suspicious fund-release and utilization patterns, closing the weakest area of the prior design.</w:t>
      </w:r>
    </w:p>
    <w:p>
      <w:pPr>
        <w:pStyle w:val="ListParagraph"/>
        <w:numPr>
          <w:ilvl w:val="0"/>
          <w:numId w:val="2"/>
        </w:numPr>
        <w:spacing w:after="60"/>
      </w:pPr>
      <w:r>
        <w:t xml:space="preserve">Rule: released_amount &gt; sanction_amount</w:t>
      </w:r>
    </w:p>
    <w:p>
      <w:pPr>
        <w:pStyle w:val="ListParagraph"/>
        <w:numPr>
          <w:ilvl w:val="0"/>
          <w:numId w:val="2"/>
        </w:numPr>
        <w:spacing w:after="60"/>
      </w:pPr>
      <w:r>
        <w:t xml:space="preserve">Rule: high released-amount percentage against low or unchanged recorded progress (payment–progress mismatch)</w:t>
      </w:r>
    </w:p>
    <w:p>
      <w:pPr>
        <w:pStyle w:val="ListParagraph"/>
        <w:numPr>
          <w:ilvl w:val="0"/>
          <w:numId w:val="2"/>
        </w:numPr>
        <w:spacing w:after="60"/>
      </w:pPr>
      <w:r>
        <w:t xml:space="preserve">Rule: repeated installment releases without corresponding progress updates</w:t>
      </w:r>
    </w:p>
    <w:p>
      <w:pPr>
        <w:pStyle w:val="ListParagraph"/>
        <w:numPr>
          <w:ilvl w:val="0"/>
          <w:numId w:val="2"/>
        </w:numPr>
        <w:spacing w:after="60"/>
      </w:pPr>
      <w:r>
        <w:t xml:space="preserve">Rule: unspent balance persisting beyond a configurable inactivity window</w:t>
      </w:r>
    </w:p>
    <w:p>
      <w:pPr>
        <w:pStyle w:val="ListParagraph"/>
        <w:numPr>
          <w:ilvl w:val="0"/>
          <w:numId w:val="2"/>
        </w:numPr>
        <w:spacing w:after="60"/>
      </w:pPr>
      <w:r>
        <w:t xml:space="preserve">Rule: MP financial-year cumulative sanction approaching or exceeding annual entitlement</w:t>
      </w:r>
    </w:p>
    <w:p>
      <w:pPr>
        <w:pStyle w:val="ListParagraph"/>
        <w:numPr>
          <w:ilvl w:val="0"/>
          <w:numId w:val="2"/>
        </w:numPr>
        <w:spacing w:after="60"/>
      </w:pPr>
      <w:r>
        <w:t xml:space="preserve">Statistical check: unusual end-of-year concentration of releases vs the district/agency's typical release pattern</w:t>
      </w:r>
    </w:p>
    <w:p>
      <w:pPr>
        <w:spacing w:after="120"/>
      </w:pPr>
      <w:r>
        <w:t xml:space="preserve">Outputs: fund_anomaly_score, flags such as FUND_UTILIZATION_ABNORMAL, PAYMENT_PROGRESS_MISMATCH, RELEASE_EXCEEDS_SANCTION, ENTITLEMENT_EXCEEDED.</w:t>
      </w:r>
    </w:p>
    <w:p>
      <w:pPr>
        <w:pStyle w:val="Heading3"/>
        <w:spacing w:after="100" w:before="200"/>
      </w:pPr>
      <w:r>
        <w:rPr>
          <w:b/>
          <w:bCs/>
          <w:color w:val="1F3864"/>
          <w:sz w:val="22"/>
          <w:szCs w:val="22"/>
        </w:rPr>
        <w:t xml:space="preserve">3.4.5 Compliance Rules Engine  (NEW)</w:t>
      </w:r>
    </w:p>
    <w:p>
      <w:pPr>
        <w:spacing w:after="120"/>
      </w:pPr>
      <w:r>
        <w:t xml:space="preserve">Goal: deterministic, explainable checks against the MPLADS Guidelines 2023 — a policy layer that complements the statistical models rather than trying to learn policy from data.</w:t>
      </w:r>
    </w:p>
    <w:p>
      <w:pPr>
        <w:pStyle w:val="ListParagraph"/>
        <w:numPr>
          <w:ilvl w:val="0"/>
          <w:numId w:val="2"/>
        </w:numPr>
        <w:spacing w:after="60"/>
      </w:pPr>
      <w:r>
        <w:t xml:space="preserve">Non-permissible category check: work_name / work_description matched against a maintained keyword and category list (religious works, land acquisition/compensation, residential/commercial buildings, recurring expenditure, grants/loans, Swagat Dwars, unauthorized-colony works)</w:t>
      </w:r>
    </w:p>
    <w:p>
      <w:pPr>
        <w:pStyle w:val="ListParagraph"/>
        <w:numPr>
          <w:ilvl w:val="0"/>
          <w:numId w:val="2"/>
        </w:numPr>
        <w:spacing w:after="60"/>
      </w:pPr>
      <w:r>
        <w:t xml:space="preserve">Timeline-violation check: sanction and completion timelines vs the 45-day / 1-year norms (shared inputs with the Delay Detector, surfaced separately here as a policy violation rather than an operational delay)</w:t>
      </w:r>
    </w:p>
    <w:p>
      <w:pPr>
        <w:pStyle w:val="ListParagraph"/>
        <w:numPr>
          <w:ilvl w:val="0"/>
          <w:numId w:val="2"/>
        </w:numPr>
        <w:spacing w:after="60"/>
      </w:pPr>
      <w:r>
        <w:t xml:space="preserve">Entitlement check: cumulative sanction amount vs MP's ₹5 crore/year limit</w:t>
      </w:r>
    </w:p>
    <w:p>
      <w:pPr>
        <w:pStyle w:val="ListParagraph"/>
        <w:numPr>
          <w:ilvl w:val="0"/>
          <w:numId w:val="2"/>
        </w:numPr>
        <w:spacing w:after="60"/>
      </w:pPr>
      <w:r>
        <w:t xml:space="preserve">Missing-mandatory-data check: required fields (agency, district, approval date, work category) absent</w:t>
      </w:r>
    </w:p>
    <w:p>
      <w:pPr>
        <w:pStyle w:val="ListParagraph"/>
        <w:numPr>
          <w:ilvl w:val="0"/>
          <w:numId w:val="2"/>
        </w:numPr>
        <w:spacing w:after="60"/>
      </w:pPr>
      <w:r>
        <w:t xml:space="preserve">Third-party-inspection eligibility tagging: works ≥ ₹25 lakh (compulsory), ₹15–25 lakh band (50% sample), auto-tagged for the Inspection Priority queue</w:t>
      </w:r>
    </w:p>
    <w:p>
      <w:pPr>
        <w:spacing w:after="120"/>
      </w:pPr>
      <w:r>
        <w:t xml:space="preserve">Outputs: compliance_flags[] (e.g., NON_PERMISSIBLE_CATEGORY_SUSPECTED, TIMELINE_VIOLATION, ENTITLEMENT_EXCEEDED, MISSING_MANDATORY_DATA, INSPECTION_MANDATORY), each with a plain-language rule description. Every flag is worded as “potentially non-compliant – requires verification,” never as a legal finding.</w:t>
      </w:r>
    </w:p>
    <w:p>
      <w:pPr>
        <w:pStyle w:val="Heading2"/>
        <w:spacing w:after="120" w:before="260"/>
      </w:pPr>
      <w:r>
        <w:rPr>
          <w:b/>
          <w:bCs/>
          <w:color w:val="2E5C8A"/>
          <w:sz w:val="25"/>
          <w:szCs w:val="25"/>
        </w:rPr>
        <w:t xml:space="preserve">3.5 Risk / Impact / Priority Engine  (CHANGED)</w:t>
      </w:r>
    </w:p>
    <w:p>
      <w:pPr>
        <w:spacing w:after="120"/>
      </w:pPr>
      <w:r>
        <w:t xml:space="preserve">Purpose: combine signals from all five detection modules into interpretable, separated scores rather than one blended number, so a low-value anomaly and a high-value anomaly are not queued identically.</w:t>
      </w:r>
    </w:p>
    <w:p>
      <w:pPr>
        <w:pStyle w:val="Heading3"/>
        <w:spacing w:after="100" w:before="200"/>
      </w:pPr>
      <w:r>
        <w:rPr>
          <w:b/>
          <w:bCs/>
          <w:color w:val="1F3864"/>
          <w:sz w:val="22"/>
          <w:szCs w:val="22"/>
        </w:rPr>
        <w:t xml:space="preserve">Risk Score (0–100)</w:t>
      </w:r>
    </w:p>
    <w:p>
      <w:pPr>
        <w:spacing w:after="120"/>
      </w:pPr>
      <w:r>
        <w:t xml:space="preserve">Likelihood that a work record needs human review.</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risk_score =</w:t>
      </w:r>
      <w:r>
        <w:rPr>
          <w:rFonts w:ascii="Consolas" w:cs="Consolas" w:eastAsia="Consolas" w:hAnsi="Consolas"/>
          <w:color w:val="333333"/>
          <w:sz w:val="18"/>
          <w:szCs w:val="18"/>
        </w:rPr>
        <w:br/>
        <w:t xml:space="preserve">    w1 * cost_anomaly_score</w:t>
      </w:r>
      <w:r>
        <w:rPr>
          <w:rFonts w:ascii="Consolas" w:cs="Consolas" w:eastAsia="Consolas" w:hAnsi="Consolas"/>
          <w:color w:val="333333"/>
          <w:sz w:val="18"/>
          <w:szCs w:val="18"/>
        </w:rPr>
        <w:br/>
        <w:t xml:space="preserve">  + w2 * duplicate_signal</w:t>
      </w:r>
      <w:r>
        <w:rPr>
          <w:rFonts w:ascii="Consolas" w:cs="Consolas" w:eastAsia="Consolas" w:hAnsi="Consolas"/>
          <w:color w:val="333333"/>
          <w:sz w:val="18"/>
          <w:szCs w:val="18"/>
        </w:rPr>
        <w:br/>
        <w:t xml:space="preserve">  + w3 * delay_score</w:t>
      </w:r>
      <w:r>
        <w:rPr>
          <w:rFonts w:ascii="Consolas" w:cs="Consolas" w:eastAsia="Consolas" w:hAnsi="Consolas"/>
          <w:color w:val="333333"/>
          <w:sz w:val="18"/>
          <w:szCs w:val="18"/>
        </w:rPr>
        <w:br/>
        <w:t xml:space="preserve">  + w4 * fund_anomaly_score</w:t>
      </w:r>
      <w:r>
        <w:rPr>
          <w:rFonts w:ascii="Consolas" w:cs="Consolas" w:eastAsia="Consolas" w:hAnsi="Consolas"/>
          <w:color w:val="333333"/>
          <w:sz w:val="18"/>
          <w:szCs w:val="18"/>
        </w:rPr>
        <w:br/>
        <w:t xml:space="preserve">  + w5 * compliance_signal</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(weights w1..w5 tuned on validation data;</w:t>
      </w:r>
      <w:r>
        <w:rPr>
          <w:rFonts w:ascii="Consolas" w:cs="Consolas" w:eastAsia="Consolas" w:hAnsi="Consolas"/>
          <w:color w:val="333333"/>
          <w:sz w:val="18"/>
          <w:szCs w:val="18"/>
        </w:rPr>
        <w:br/>
        <w:t xml:space="preserve"> configurable per role in Settings &gt; Risk Configuration)</w:t>
      </w:r>
    </w:p>
    <w:p>
      <w:pPr>
        <w:pStyle w:val="ListParagraph"/>
        <w:numPr>
          <w:ilvl w:val="0"/>
          <w:numId w:val="2"/>
        </w:numPr>
        <w:spacing w:after="60"/>
      </w:pPr>
      <w:r>
        <w:t xml:space="preserve">Clip score to 0–100</w:t>
      </w:r>
    </w:p>
    <w:p>
      <w:pPr>
        <w:pStyle w:val="ListParagraph"/>
        <w:numPr>
          <w:ilvl w:val="0"/>
          <w:numId w:val="2"/>
        </w:numPr>
        <w:spacing w:after="60"/>
      </w:pPr>
      <w:r>
        <w:t xml:space="preserve">If data_confidence &lt; threshold → risk_level = INSUFFICIENT_DATA (overrides the numeric mapping below)</w:t>
      </w:r>
    </w:p>
    <w:p>
      <w:pPr>
        <w:pStyle w:val="ListParagraph"/>
        <w:numPr>
          <w:ilvl w:val="0"/>
          <w:numId w:val="2"/>
        </w:numPr>
        <w:spacing w:after="60"/>
      </w:pPr>
      <w:r>
        <w:t xml:space="preserve">Else map to risk level: Low 0–40, Medium 41–70, High 71–100 (exact thresholds tunable)</w:t>
      </w:r>
    </w:p>
    <w:p>
      <w:pPr>
        <w:pStyle w:val="Heading3"/>
        <w:spacing w:after="100" w:before="200"/>
      </w:pPr>
      <w:r>
        <w:rPr>
          <w:b/>
          <w:bCs/>
          <w:color w:val="1F3864"/>
          <w:sz w:val="22"/>
          <w:szCs w:val="22"/>
        </w:rPr>
        <w:t xml:space="preserve">Impact Score  (NEW)</w:t>
      </w:r>
    </w:p>
    <w:p>
      <w:pPr>
        <w:spacing w:after="120"/>
      </w:pPr>
      <w:r>
        <w:t xml:space="preserve">Normalized measure of financial / public significance, independent of anomaly likelihood.</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impact_score = f(sanction_amount, work_category weight, population/beneficiary proxy if available)</w:t>
      </w:r>
    </w:p>
    <w:p>
      <w:pPr>
        <w:pStyle w:val="Heading3"/>
        <w:spacing w:after="100" w:before="200"/>
      </w:pPr>
      <w:r>
        <w:rPr>
          <w:b/>
          <w:bCs/>
          <w:color w:val="1F3864"/>
          <w:sz w:val="22"/>
          <w:szCs w:val="22"/>
        </w:rPr>
        <w:t xml:space="preserve">Priority Score  (NEW)</w:t>
      </w:r>
    </w:p>
    <w:p>
      <w:pPr>
        <w:spacing w:after="120"/>
      </w:pPr>
      <w:r>
        <w:t xml:space="preserve">Drives the Inspection Priority queue. A ₹2 lakh anomaly and a ₹25 lakh anomaly should not receive equal inspection priority.</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priority_score = risk_score * (0.5 + 0.5 * normalized_impact_score)</w:t>
      </w:r>
    </w:p>
    <w:p>
      <w:pPr>
        <w:pStyle w:val="Heading3"/>
        <w:spacing w:after="100" w:before="200"/>
      </w:pPr>
      <w:r>
        <w:rPr>
          <w:b/>
          <w:bCs/>
          <w:color w:val="1F3864"/>
          <w:sz w:val="22"/>
          <w:szCs w:val="22"/>
        </w:rPr>
        <w:t xml:space="preserve">Reason Codes</w:t>
      </w:r>
    </w:p>
    <w:p>
      <w:pPr>
        <w:spacing w:after="120"/>
      </w:pPr>
      <w:r>
        <w:t xml:space="preserve">Every scored work carries a reason_codes[] array combining flags from all five detectors, e.g. COST_OUTLIER_HIGH, POSSIBLE_DUPLICATE, EXECUTION_DELAY, PAYMENT_PROGRESS_MISMATCH, NON_PERMISSIBLE_CATEGORY_SUSPECTED, plus short evidence snippets (“cost 4.2× median”, “160 days beyond expected timeline”, “85% released vs 40% progress”).</w:t>
      </w:r>
    </w:p>
    <w:p>
      <w:pPr>
        <w:pStyle w:val="Heading3"/>
        <w:spacing w:after="100" w:before="200"/>
      </w:pPr>
      <w:r>
        <w:rPr>
          <w:b/>
          <w:bCs/>
          <w:color w:val="1F3864"/>
          <w:sz w:val="22"/>
          <w:szCs w:val="22"/>
        </w:rPr>
        <w:t xml:space="preserve">Output per work</w:t>
      </w:r>
    </w:p>
    <w:p>
      <w:pPr>
        <w:pStyle w:val="ListParagraph"/>
        <w:numPr>
          <w:ilvl w:val="0"/>
          <w:numId w:val="2"/>
        </w:numPr>
        <w:spacing w:after="60"/>
      </w:pPr>
      <w:r>
        <w:t xml:space="preserve">work_id</w:t>
      </w:r>
    </w:p>
    <w:p>
      <w:pPr>
        <w:pStyle w:val="ListParagraph"/>
        <w:numPr>
          <w:ilvl w:val="0"/>
          <w:numId w:val="2"/>
        </w:numPr>
        <w:spacing w:after="60"/>
      </w:pPr>
      <w:r>
        <w:t xml:space="preserve">risk_score, risk_level (Low / Medium / High / Insufficient Data)</w:t>
      </w:r>
    </w:p>
    <w:p>
      <w:pPr>
        <w:pStyle w:val="ListParagraph"/>
        <w:numPr>
          <w:ilvl w:val="0"/>
          <w:numId w:val="2"/>
        </w:numPr>
        <w:spacing w:after="60"/>
      </w:pPr>
      <w:r>
        <w:t xml:space="preserve">impact_score, priority_score</w:t>
      </w:r>
      <w:r>
        <w:rPr>
          <w:b/>
          <w:bCs/>
          <w:color w:val="B15C00"/>
          <w:sz w:val="18"/>
          <w:szCs w:val="18"/>
        </w:rPr>
        <w:t xml:space="preserve">  [NEW]</w:t>
      </w:r>
    </w:p>
    <w:p>
      <w:pPr>
        <w:pStyle w:val="ListParagraph"/>
        <w:numPr>
          <w:ilvl w:val="0"/>
          <w:numId w:val="2"/>
        </w:numPr>
        <w:spacing w:after="60"/>
      </w:pPr>
      <w:r>
        <w:t xml:space="preserve">reason_codes[] with evidence snippets</w:t>
      </w:r>
    </w:p>
    <w:p>
      <w:pPr>
        <w:pStyle w:val="ListParagraph"/>
        <w:numPr>
          <w:ilvl w:val="0"/>
          <w:numId w:val="2"/>
        </w:numPr>
        <w:spacing w:after="60"/>
      </w:pPr>
      <w:r>
        <w:t xml:space="preserve">data_confidence</w:t>
      </w:r>
      <w:r>
        <w:rPr>
          <w:b/>
          <w:bCs/>
          <w:color w:val="B15C00"/>
          <w:sz w:val="18"/>
          <w:szCs w:val="18"/>
        </w:rPr>
        <w:t xml:space="preserve">  [NEW]</w:t>
      </w:r>
    </w:p>
    <w:p>
      <w:pPr>
        <w:pStyle w:val="Heading2"/>
        <w:spacing w:after="120" w:before="260"/>
      </w:pPr>
      <w:r>
        <w:rPr>
          <w:b/>
          <w:bCs/>
          <w:color w:val="2E5C8A"/>
          <w:sz w:val="25"/>
          <w:szCs w:val="25"/>
        </w:rPr>
        <w:t xml:space="preserve">3.6 PostgreSQL Database  (CHANGED — new tables)</w:t>
      </w:r>
    </w:p>
    <w:p>
      <w:pPr>
        <w:spacing w:after="120"/>
      </w:pPr>
      <w:r>
        <w:t xml:space="preserve">Technology: PostgreSQL. Purpose: persistent storage for works, detection results, risk scores, users, inspections, and audit history.</w:t>
      </w:r>
    </w:p>
    <w:p>
      <w:pPr>
        <w:pStyle w:val="Heading3"/>
        <w:spacing w:after="100" w:before="200"/>
      </w:pPr>
      <w:r>
        <w:rPr>
          <w:b/>
          <w:bCs/>
          <w:color w:val="1F3864"/>
          <w:sz w:val="22"/>
          <w:szCs w:val="22"/>
        </w:rPr>
        <w:t xml:space="preserve">works  (changed)</w:t>
      </w:r>
    </w:p>
    <w:p>
      <w:pPr>
        <w:pStyle w:val="ListParagraph"/>
        <w:numPr>
          <w:ilvl w:val="0"/>
          <w:numId w:val="2"/>
        </w:numPr>
        <w:spacing w:after="60"/>
      </w:pPr>
      <w:r>
        <w:t xml:space="preserve">work_id, description, location, constituency_id, district_id, state_id</w:t>
      </w:r>
    </w:p>
    <w:p>
      <w:pPr>
        <w:pStyle w:val="ListParagraph"/>
        <w:numPr>
          <w:ilvl w:val="0"/>
          <w:numId w:val="2"/>
        </w:numPr>
        <w:spacing w:after="60"/>
      </w:pPr>
      <w:r>
        <w:t xml:space="preserve">sanctioned_cost, actual_cost</w:t>
      </w:r>
    </w:p>
    <w:p>
      <w:pPr>
        <w:pStyle w:val="ListParagraph"/>
        <w:numPr>
          <w:ilvl w:val="0"/>
          <w:numId w:val="2"/>
        </w:numPr>
        <w:spacing w:after="60"/>
      </w:pPr>
      <w:r>
        <w:t xml:space="preserve">recommendation_date, approval_date, commencement_date, completion_date, handover_date  </w:t>
      </w:r>
    </w:p>
    <w:p>
      <w:pPr>
        <w:pStyle w:val="ListParagraph"/>
        <w:numPr>
          <w:ilvl w:val="0"/>
          <w:numId w:val="2"/>
        </w:numPr>
        <w:spacing w:after="60"/>
      </w:pPr>
      <w:r>
        <w:t xml:space="preserve">data_confidence, completeness_flags (JSON)</w:t>
      </w:r>
      <w:r>
        <w:rPr>
          <w:b/>
          <w:bCs/>
          <w:color w:val="B15C00"/>
          <w:sz w:val="18"/>
          <w:szCs w:val="18"/>
        </w:rPr>
        <w:t xml:space="preserve">  [NEW]</w:t>
      </w:r>
    </w:p>
    <w:p>
      <w:pPr>
        <w:pStyle w:val="ListParagraph"/>
        <w:numPr>
          <w:ilvl w:val="0"/>
          <w:numId w:val="2"/>
        </w:numPr>
        <w:spacing w:after="60"/>
      </w:pPr>
      <w:r>
        <w:t xml:space="preserve">other metadata</w:t>
      </w:r>
    </w:p>
    <w:p>
      <w:pPr>
        <w:pStyle w:val="Heading3"/>
        <w:spacing w:after="100" w:before="200"/>
      </w:pPr>
      <w:r>
        <w:rPr>
          <w:b/>
          <w:bCs/>
          <w:color w:val="1F3864"/>
          <w:sz w:val="22"/>
          <w:szCs w:val="22"/>
        </w:rPr>
        <w:t xml:space="preserve">fund_releases</w:t>
      </w:r>
    </w:p>
    <w:p>
      <w:pPr>
        <w:pStyle w:val="ListParagraph"/>
        <w:numPr>
          <w:ilvl w:val="0"/>
          <w:numId w:val="2"/>
        </w:numPr>
        <w:spacing w:after="60"/>
      </w:pPr>
      <w:r>
        <w:t xml:space="preserve">release_id, work_id (FK)</w:t>
      </w:r>
    </w:p>
    <w:p>
      <w:pPr>
        <w:pStyle w:val="ListParagraph"/>
        <w:numPr>
          <w:ilvl w:val="0"/>
          <w:numId w:val="2"/>
        </w:numPr>
        <w:spacing w:after="60"/>
      </w:pPr>
      <w:r>
        <w:t xml:space="preserve">release_date, amount, installment_number, status</w:t>
      </w:r>
    </w:p>
    <w:p>
      <w:pPr>
        <w:pStyle w:val="Heading3"/>
        <w:spacing w:after="100" w:before="200"/>
      </w:pPr>
      <w:r>
        <w:rPr>
          <w:b/>
          <w:bCs/>
          <w:color w:val="1F3864"/>
          <w:sz w:val="22"/>
          <w:szCs w:val="22"/>
        </w:rPr>
        <w:t xml:space="preserve">detection_results  (changed)</w:t>
      </w:r>
    </w:p>
    <w:p>
      <w:pPr>
        <w:pStyle w:val="ListParagraph"/>
        <w:numPr>
          <w:ilvl w:val="0"/>
          <w:numId w:val="2"/>
        </w:numPr>
        <w:spacing w:after="60"/>
      </w:pPr>
      <w:r>
        <w:t xml:space="preserve">work_id (FK)</w:t>
      </w:r>
    </w:p>
    <w:p>
      <w:pPr>
        <w:pStyle w:val="ListParagraph"/>
        <w:numPr>
          <w:ilvl w:val="0"/>
          <w:numId w:val="2"/>
        </w:numPr>
        <w:spacing w:after="60"/>
      </w:pPr>
      <w:r>
        <w:t xml:space="preserve">cost_anomaly_score, cost_flags</w:t>
      </w:r>
    </w:p>
    <w:p>
      <w:pPr>
        <w:pStyle w:val="ListParagraph"/>
        <w:numPr>
          <w:ilvl w:val="0"/>
          <w:numId w:val="2"/>
        </w:numPr>
        <w:spacing w:after="60"/>
      </w:pPr>
      <w:r>
        <w:t xml:space="preserve">duplicate_cluster_id, similarity_score, matched_work_ids, match_component_flags (JSON)</w:t>
      </w:r>
    </w:p>
    <w:p>
      <w:pPr>
        <w:pStyle w:val="ListParagraph"/>
        <w:numPr>
          <w:ilvl w:val="0"/>
          <w:numId w:val="2"/>
        </w:numPr>
        <w:spacing w:after="60"/>
      </w:pPr>
      <w:r>
        <w:t xml:space="preserve">delay_score, stage_delay_flags (JSON: sanction/start/execution/payment/closure)</w:t>
      </w:r>
    </w:p>
    <w:p>
      <w:pPr>
        <w:pStyle w:val="ListParagraph"/>
        <w:numPr>
          <w:ilvl w:val="0"/>
          <w:numId w:val="2"/>
        </w:numPr>
        <w:spacing w:after="60"/>
      </w:pPr>
      <w:r>
        <w:t xml:space="preserve">fund_anomaly_score, fund_flags</w:t>
      </w:r>
      <w:r>
        <w:rPr>
          <w:b/>
          <w:bCs/>
          <w:color w:val="B15C00"/>
          <w:sz w:val="18"/>
          <w:szCs w:val="18"/>
        </w:rPr>
        <w:t xml:space="preserve">  [NEW]</w:t>
      </w:r>
    </w:p>
    <w:p>
      <w:pPr>
        <w:pStyle w:val="ListParagraph"/>
        <w:numPr>
          <w:ilvl w:val="0"/>
          <w:numId w:val="2"/>
        </w:numPr>
        <w:spacing w:after="60"/>
      </w:pPr>
      <w:r>
        <w:t xml:space="preserve">compliance_flags (JSON array), compliance_rule_ids</w:t>
      </w:r>
      <w:r>
        <w:rPr>
          <w:b/>
          <w:bCs/>
          <w:color w:val="B15C00"/>
          <w:sz w:val="18"/>
          <w:szCs w:val="18"/>
        </w:rPr>
        <w:t xml:space="preserve">  [NEW]</w:t>
      </w:r>
    </w:p>
    <w:p>
      <w:pPr>
        <w:pStyle w:val="Heading3"/>
        <w:spacing w:after="100" w:before="200"/>
      </w:pPr>
      <w:r>
        <w:rPr>
          <w:b/>
          <w:bCs/>
          <w:color w:val="1F3864"/>
          <w:sz w:val="22"/>
          <w:szCs w:val="22"/>
        </w:rPr>
        <w:t xml:space="preserve">risk_scores  (changed)</w:t>
      </w:r>
    </w:p>
    <w:p>
      <w:pPr>
        <w:pStyle w:val="ListParagraph"/>
        <w:numPr>
          <w:ilvl w:val="0"/>
          <w:numId w:val="2"/>
        </w:numPr>
        <w:spacing w:after="60"/>
      </w:pPr>
      <w:r>
        <w:t xml:space="preserve">work_id (FK)</w:t>
      </w:r>
    </w:p>
    <w:p>
      <w:pPr>
        <w:pStyle w:val="ListParagraph"/>
        <w:numPr>
          <w:ilvl w:val="0"/>
          <w:numId w:val="2"/>
        </w:numPr>
        <w:spacing w:after="60"/>
      </w:pPr>
      <w:r>
        <w:t xml:space="preserve">risk_score, risk_level</w:t>
      </w:r>
    </w:p>
    <w:p>
      <w:pPr>
        <w:pStyle w:val="ListParagraph"/>
        <w:numPr>
          <w:ilvl w:val="0"/>
          <w:numId w:val="2"/>
        </w:numPr>
        <w:spacing w:after="60"/>
      </w:pPr>
      <w:r>
        <w:t xml:space="preserve">impact_score, priority_score</w:t>
      </w:r>
      <w:r>
        <w:rPr>
          <w:b/>
          <w:bCs/>
          <w:color w:val="B15C00"/>
          <w:sz w:val="18"/>
          <w:szCs w:val="18"/>
        </w:rPr>
        <w:t xml:space="preserve">  [NEW]</w:t>
      </w:r>
    </w:p>
    <w:p>
      <w:pPr>
        <w:pStyle w:val="ListParagraph"/>
        <w:numPr>
          <w:ilvl w:val="0"/>
          <w:numId w:val="2"/>
        </w:numPr>
        <w:spacing w:after="60"/>
      </w:pPr>
      <w:r>
        <w:t xml:space="preserve">reason_codes (JSON/array)</w:t>
      </w:r>
    </w:p>
    <w:p>
      <w:pPr>
        <w:pStyle w:val="ListParagraph"/>
        <w:numPr>
          <w:ilvl w:val="0"/>
          <w:numId w:val="2"/>
        </w:numPr>
        <w:spacing w:after="60"/>
      </w:pPr>
      <w:r>
        <w:t xml:space="preserve">generated_at, model_version</w:t>
      </w:r>
    </w:p>
    <w:p>
      <w:pPr>
        <w:pStyle w:val="Heading3"/>
        <w:spacing w:after="100" w:before="200"/>
      </w:pPr>
      <w:r>
        <w:rPr>
          <w:b/>
          <w:bCs/>
          <w:color w:val="1F3864"/>
          <w:sz w:val="22"/>
          <w:szCs w:val="22"/>
        </w:rPr>
        <w:t xml:space="preserve">compliance_rules  (reference table)</w:t>
      </w:r>
      <w:r>
        <w:rPr>
          <w:b/>
          <w:bCs/>
          <w:color w:val="B15C00"/>
          <w:sz w:val="18"/>
          <w:szCs w:val="18"/>
        </w:rPr>
        <w:t xml:space="preserve">  [NEW]</w:t>
      </w:r>
    </w:p>
    <w:p>
      <w:pPr>
        <w:pStyle w:val="ListParagraph"/>
        <w:numPr>
          <w:ilvl w:val="0"/>
          <w:numId w:val="2"/>
        </w:numPr>
        <w:spacing w:after="60"/>
      </w:pPr>
      <w:r>
        <w:t xml:space="preserve">rule_id, rule_name, rule_type (category / timeline / entitlement / data-completeness)</w:t>
      </w:r>
    </w:p>
    <w:p>
      <w:pPr>
        <w:pStyle w:val="ListParagraph"/>
        <w:numPr>
          <w:ilvl w:val="0"/>
          <w:numId w:val="2"/>
        </w:numPr>
        <w:spacing w:after="60"/>
      </w:pPr>
      <w:r>
        <w:t xml:space="preserve">description, source_reference (e.g., “MPLADS Guidelines 2023, Para 3.2.4”)</w:t>
      </w:r>
    </w:p>
    <w:p>
      <w:pPr>
        <w:pStyle w:val="ListParagraph"/>
        <w:numPr>
          <w:ilvl w:val="0"/>
          <w:numId w:val="2"/>
        </w:numPr>
        <w:spacing w:after="60"/>
      </w:pPr>
      <w:r>
        <w:t xml:space="preserve">active (boolean), severity</w:t>
      </w:r>
    </w:p>
    <w:p>
      <w:pPr>
        <w:pStyle w:val="Heading3"/>
        <w:spacing w:after="100" w:before="200"/>
      </w:pPr>
      <w:r>
        <w:rPr>
          <w:b/>
          <w:bCs/>
          <w:color w:val="1F3864"/>
          <w:sz w:val="22"/>
          <w:szCs w:val="22"/>
        </w:rPr>
        <w:t xml:space="preserve">users and roles</w:t>
      </w:r>
    </w:p>
    <w:p>
      <w:pPr>
        <w:pStyle w:val="ListParagraph"/>
        <w:numPr>
          <w:ilvl w:val="0"/>
          <w:numId w:val="2"/>
        </w:numPr>
        <w:spacing w:after="60"/>
      </w:pPr>
      <w:r>
        <w:t xml:space="preserve">user_id, name, email, role (MP, district_officer, state_admin, mospi_admin)</w:t>
      </w:r>
    </w:p>
    <w:p>
      <w:pPr>
        <w:pStyle w:val="ListParagraph"/>
        <w:numPr>
          <w:ilvl w:val="0"/>
          <w:numId w:val="2"/>
        </w:numPr>
        <w:spacing w:after="60"/>
      </w:pPr>
      <w:r>
        <w:t xml:space="preserve">associated constituency / district / state</w:t>
      </w:r>
    </w:p>
    <w:p>
      <w:pPr>
        <w:pStyle w:val="Heading3"/>
        <w:spacing w:after="100" w:before="200"/>
      </w:pPr>
      <w:r>
        <w:rPr>
          <w:b/>
          <w:bCs/>
          <w:color w:val="1F3864"/>
          <w:sz w:val="22"/>
          <w:szCs w:val="22"/>
        </w:rPr>
        <w:t xml:space="preserve">inspections</w:t>
      </w:r>
    </w:p>
    <w:p>
      <w:pPr>
        <w:pStyle w:val="ListParagraph"/>
        <w:numPr>
          <w:ilvl w:val="0"/>
          <w:numId w:val="2"/>
        </w:numPr>
        <w:spacing w:after="60"/>
      </w:pPr>
      <w:r>
        <w:t xml:space="preserve">inspection_id, work_id (FK)</w:t>
      </w:r>
    </w:p>
    <w:p>
      <w:pPr>
        <w:pStyle w:val="ListParagraph"/>
        <w:numPr>
          <w:ilvl w:val="0"/>
          <w:numId w:val="2"/>
        </w:numPr>
        <w:spacing w:after="60"/>
      </w:pPr>
      <w:r>
        <w:t xml:space="preserve">assigned_to (user_id)</w:t>
      </w:r>
    </w:p>
    <w:p>
      <w:pPr>
        <w:pStyle w:val="ListParagraph"/>
        <w:numPr>
          <w:ilvl w:val="0"/>
          <w:numId w:val="2"/>
        </w:numPr>
        <w:spacing w:after="60"/>
      </w:pPr>
      <w:r>
        <w:t xml:space="preserve">status (Pending, InProgress, Completed)</w:t>
      </w:r>
    </w:p>
    <w:p>
      <w:pPr>
        <w:pStyle w:val="ListParagraph"/>
        <w:numPr>
          <w:ilvl w:val="0"/>
          <w:numId w:val="2"/>
        </w:numPr>
        <w:spacing w:after="60"/>
      </w:pPr>
      <w:r>
        <w:t xml:space="preserve">remarks, findings, evidence references</w:t>
      </w:r>
    </w:p>
    <w:p>
      <w:pPr>
        <w:pStyle w:val="ListParagraph"/>
        <w:numPr>
          <w:ilvl w:val="0"/>
          <w:numId w:val="2"/>
        </w:numPr>
        <w:spacing w:after="60"/>
      </w:pPr>
      <w:r>
        <w:t xml:space="preserve">review_decision (Confirmed / Needs verification / False positive / No action)</w:t>
      </w:r>
      <w:r>
        <w:rPr>
          <w:b/>
          <w:bCs/>
          <w:color w:val="B15C00"/>
          <w:sz w:val="18"/>
          <w:szCs w:val="18"/>
        </w:rPr>
        <w:t xml:space="preserve">  [NEW]</w:t>
      </w:r>
    </w:p>
    <w:p>
      <w:pPr>
        <w:pStyle w:val="Heading3"/>
        <w:spacing w:after="100" w:before="200"/>
      </w:pPr>
      <w:r>
        <w:rPr>
          <w:b/>
          <w:bCs/>
          <w:color w:val="1F3864"/>
          <w:sz w:val="22"/>
          <w:szCs w:val="22"/>
        </w:rPr>
        <w:t xml:space="preserve">audit_log</w:t>
      </w:r>
      <w:r>
        <w:rPr>
          <w:b/>
          <w:bCs/>
          <w:color w:val="B15C00"/>
          <w:sz w:val="18"/>
          <w:szCs w:val="18"/>
        </w:rPr>
        <w:t xml:space="preserve">  [NEW]</w:t>
      </w:r>
    </w:p>
    <w:p>
      <w:pPr>
        <w:pStyle w:val="ListParagraph"/>
        <w:numPr>
          <w:ilvl w:val="0"/>
          <w:numId w:val="2"/>
        </w:numPr>
        <w:spacing w:after="60"/>
      </w:pPr>
      <w:r>
        <w:t xml:space="preserve">audit_id, actor_user_id, action_type (review_decision / evidence_upload / escalation / flag_override / risk_config_change)</w:t>
      </w:r>
    </w:p>
    <w:p>
      <w:pPr>
        <w:pStyle w:val="ListParagraph"/>
        <w:numPr>
          <w:ilvl w:val="0"/>
          <w:numId w:val="2"/>
        </w:numPr>
        <w:spacing w:after="60"/>
      </w:pPr>
      <w:r>
        <w:t xml:space="preserve">target_type (work / inspection / risk_config), target_id</w:t>
      </w:r>
    </w:p>
    <w:p>
      <w:pPr>
        <w:pStyle w:val="ListParagraph"/>
        <w:numPr>
          <w:ilvl w:val="0"/>
          <w:numId w:val="2"/>
        </w:numPr>
        <w:spacing w:after="60"/>
      </w:pPr>
      <w:r>
        <w:t xml:space="preserve">timestamp, details (JSON), ip_address (optional)</w:t>
      </w:r>
    </w:p>
    <w:p>
      <w:pPr>
        <w:spacing w:after="120"/>
      </w:pPr>
      <w:r>
        <w:rPr>
          <w:i/>
          <w:iCs/>
          <w:color w:val="666666"/>
          <w:sz w:val="20"/>
          <w:szCs w:val="20"/>
        </w:rPr>
        <w:t xml:space="preserve">Populates the Audit Trail tab on the Data Quality &amp; Audit page and satisfies the requirement that every officer decision be traceable.</w:t>
      </w:r>
    </w:p>
    <w:p>
      <w:pPr>
        <w:pStyle w:val="Heading2"/>
        <w:spacing w:after="120" w:before="260"/>
      </w:pPr>
      <w:r>
        <w:rPr>
          <w:b/>
          <w:bCs/>
          <w:color w:val="2E5C8A"/>
          <w:sz w:val="25"/>
          <w:szCs w:val="25"/>
        </w:rPr>
        <w:t xml:space="preserve">3.7 Backend API  (CHANGED — new endpoints)</w:t>
      </w:r>
    </w:p>
    <w:p>
      <w:pPr>
        <w:spacing w:after="120"/>
      </w:pPr>
      <w:r>
        <w:t xml:space="preserve">Technology: Spring Boot, Spring Security. Responsibilities unchanged in principle; endpoint surface extended for the two new detection modules, priority scoring, data quality, and audit.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200"/>
        <w:gridCol w:w="4700"/>
      </w:tblGrid>
      <w:tr>
        <w:trPr>
          <w:tblHeader/>
        </w:trPr>
        <w:tc>
          <w:tcPr>
            <w:tcW w:type="dxa" w:w="5200"/>
            <w:shd w:fill="1F3864" w:val="clear"/>
            <w:tcMar>
              <w:top w:type="dxa" w:w="80"/>
              <w:left w:type="dxa" w:w="100"/>
              <w:bottom w:type="dxa" w:w="80"/>
              <w:right w:type="dxa" w:w="100"/>
            </w:tcMar>
          </w:tcPr>
          <w:p>
            <w:r>
              <w:rPr>
                <w:b/>
                <w:bCs/>
                <w:color w:val="FFFFFF"/>
                <w:sz w:val="19"/>
                <w:szCs w:val="19"/>
              </w:rPr>
              <w:t xml:space="preserve">Endpoint</w:t>
            </w:r>
          </w:p>
        </w:tc>
        <w:tc>
          <w:tcPr>
            <w:tcW w:type="dxa" w:w="4700"/>
            <w:shd w:fill="1F3864" w:val="clear"/>
            <w:tcMar>
              <w:top w:type="dxa" w:w="80"/>
              <w:left w:type="dxa" w:w="100"/>
              <w:bottom w:type="dxa" w:w="80"/>
              <w:right w:type="dxa" w:w="100"/>
            </w:tcMar>
          </w:tcPr>
          <w:p>
            <w:r>
              <w:rPr>
                <w:b/>
                <w:bCs/>
                <w:color w:val="FFFFFF"/>
                <w:sz w:val="19"/>
                <w:szCs w:val="19"/>
              </w:rPr>
              <w:t xml:space="preserve">Purpose</w:t>
            </w:r>
          </w:p>
        </w:tc>
      </w:tr>
      <w:tr>
        <w:tc>
          <w:tcPr>
            <w:tcW w:type="dxa" w:w="5200"/>
            <w:tcMar>
              <w:top w:type="dxa" w:w="80"/>
              <w:left w:type="dxa" w:w="100"/>
              <w:bottom w:type="dxa" w:w="80"/>
              <w:right w:type="dxa" w:w="100"/>
            </w:tcMar>
          </w:tcPr>
          <w:p>
            <w:r>
              <w:rPr>
                <w:b w:val="false"/>
                <w:bCs w:val="false"/>
                <w:color w:val="222222"/>
                <w:sz w:val="19"/>
                <w:szCs w:val="19"/>
              </w:rPr>
              <w:t xml:space="preserve">POST /auth/login</w:t>
            </w:r>
          </w:p>
        </w:tc>
        <w:tc>
          <w:tcPr>
            <w:tcW w:type="dxa" w:w="4700"/>
            <w:tcMar>
              <w:top w:type="dxa" w:w="80"/>
              <w:left w:type="dxa" w:w="100"/>
              <w:bottom w:type="dxa" w:w="80"/>
              <w:right w:type="dxa" w:w="100"/>
            </w:tcMar>
          </w:tcPr>
          <w:p>
            <w:r>
              <w:rPr>
                <w:b w:val="false"/>
                <w:bCs w:val="false"/>
                <w:color w:val="222222"/>
                <w:sz w:val="19"/>
                <w:szCs w:val="19"/>
              </w:rPr>
              <w:t xml:space="preserve">Authentication</w:t>
            </w:r>
          </w:p>
        </w:tc>
      </w:tr>
      <w:tr>
        <w:tc>
          <w:tcPr>
            <w:tcW w:type="dxa" w:w="5200"/>
            <w:shd w:fill="EDF1F7" w:val="clear"/>
            <w:tcMar>
              <w:top w:type="dxa" w:w="80"/>
              <w:left w:type="dxa" w:w="100"/>
              <w:bottom w:type="dxa" w:w="80"/>
              <w:right w:type="dxa" w:w="100"/>
            </w:tcMar>
          </w:tcPr>
          <w:p>
            <w:r>
              <w:rPr>
                <w:b w:val="false"/>
                <w:bCs w:val="false"/>
                <w:color w:val="222222"/>
                <w:sz w:val="19"/>
                <w:szCs w:val="19"/>
              </w:rPr>
              <w:t xml:space="preserve">GET /works?constituencyId=&amp;riskLevel=&amp;priority=</w:t>
            </w:r>
          </w:p>
        </w:tc>
        <w:tc>
          <w:tcPr>
            <w:tcW w:type="dxa" w:w="4700"/>
            <w:shd w:fill="EDF1F7" w:val="clear"/>
            <w:tcMar>
              <w:top w:type="dxa" w:w="80"/>
              <w:left w:type="dxa" w:w="100"/>
              <w:bottom w:type="dxa" w:w="80"/>
              <w:right w:type="dxa" w:w="100"/>
            </w:tcMar>
          </w:tcPr>
          <w:p>
            <w:r>
              <w:rPr>
                <w:b w:val="false"/>
                <w:bCs w:val="false"/>
                <w:color w:val="222222"/>
                <w:sz w:val="19"/>
                <w:szCs w:val="19"/>
              </w:rPr>
              <w:t xml:space="preserve">Filtered work list (priority filter is new)</w:t>
            </w:r>
          </w:p>
        </w:tc>
      </w:tr>
      <w:tr>
        <w:tc>
          <w:tcPr>
            <w:tcW w:type="dxa" w:w="5200"/>
            <w:tcMar>
              <w:top w:type="dxa" w:w="80"/>
              <w:left w:type="dxa" w:w="100"/>
              <w:bottom w:type="dxa" w:w="80"/>
              <w:right w:type="dxa" w:w="100"/>
            </w:tcMar>
          </w:tcPr>
          <w:p>
            <w:r>
              <w:rPr>
                <w:b w:val="false"/>
                <w:bCs w:val="false"/>
                <w:color w:val="222222"/>
                <w:sz w:val="19"/>
                <w:szCs w:val="19"/>
              </w:rPr>
              <w:t xml:space="preserve">GET /works/{workId}/risk</w:t>
            </w:r>
          </w:p>
        </w:tc>
        <w:tc>
          <w:tcPr>
            <w:tcW w:type="dxa" w:w="4700"/>
            <w:tcMar>
              <w:top w:type="dxa" w:w="80"/>
              <w:left w:type="dxa" w:w="100"/>
              <w:bottom w:type="dxa" w:w="80"/>
              <w:right w:type="dxa" w:w="100"/>
            </w:tcMar>
          </w:tcPr>
          <w:p>
            <w:r>
              <w:rPr>
                <w:b w:val="false"/>
                <w:bCs w:val="false"/>
                <w:color w:val="222222"/>
                <w:sz w:val="19"/>
                <w:szCs w:val="19"/>
              </w:rPr>
              <w:t xml:space="preserve">Risk, impact, priority scores + reason codes</w:t>
            </w:r>
          </w:p>
        </w:tc>
      </w:tr>
      <w:tr>
        <w:tc>
          <w:tcPr>
            <w:tcW w:type="dxa" w:w="5200"/>
            <w:shd w:fill="EDF1F7" w:val="clear"/>
            <w:tcMar>
              <w:top w:type="dxa" w:w="80"/>
              <w:left w:type="dxa" w:w="100"/>
              <w:bottom w:type="dxa" w:w="80"/>
              <w:right w:type="dxa" w:w="100"/>
            </w:tcMar>
          </w:tcPr>
          <w:p>
            <w:r>
              <w:rPr>
                <w:b w:val="false"/>
                <w:bCs w:val="false"/>
                <w:color w:val="222222"/>
                <w:sz w:val="19"/>
                <w:szCs w:val="19"/>
              </w:rPr>
              <w:t xml:space="preserve">GET /works/{workId}/compliance</w:t>
            </w:r>
          </w:p>
        </w:tc>
        <w:tc>
          <w:tcPr>
            <w:tcW w:type="dxa" w:w="4700"/>
            <w:shd w:fill="EDF1F7" w:val="clear"/>
            <w:tcMar>
              <w:top w:type="dxa" w:w="80"/>
              <w:left w:type="dxa" w:w="100"/>
              <w:bottom w:type="dxa" w:w="80"/>
              <w:right w:type="dxa" w:w="100"/>
            </w:tcMar>
          </w:tcPr>
          <w:p>
            <w:r>
              <w:rPr>
                <w:b w:val="false"/>
                <w:bCs w:val="false"/>
                <w:color w:val="222222"/>
                <w:sz w:val="19"/>
                <w:szCs w:val="19"/>
              </w:rPr>
              <w:t xml:space="preserve">Compliance flags for a work  [NEW]</w:t>
            </w:r>
          </w:p>
        </w:tc>
      </w:tr>
      <w:tr>
        <w:tc>
          <w:tcPr>
            <w:tcW w:type="dxa" w:w="5200"/>
            <w:tcMar>
              <w:top w:type="dxa" w:w="80"/>
              <w:left w:type="dxa" w:w="100"/>
              <w:bottom w:type="dxa" w:w="80"/>
              <w:right w:type="dxa" w:w="100"/>
            </w:tcMar>
          </w:tcPr>
          <w:p>
            <w:r>
              <w:rPr>
                <w:b w:val="false"/>
                <w:bCs w:val="false"/>
                <w:color w:val="222222"/>
                <w:sz w:val="19"/>
                <w:szCs w:val="19"/>
              </w:rPr>
              <w:t xml:space="preserve">GET /works/{workId}/fund-flow</w:t>
            </w:r>
          </w:p>
        </w:tc>
        <w:tc>
          <w:tcPr>
            <w:tcW w:type="dxa" w:w="4700"/>
            <w:tcMar>
              <w:top w:type="dxa" w:w="80"/>
              <w:left w:type="dxa" w:w="100"/>
              <w:bottom w:type="dxa" w:w="80"/>
              <w:right w:type="dxa" w:w="100"/>
            </w:tcMar>
          </w:tcPr>
          <w:p>
            <w:r>
              <w:rPr>
                <w:b w:val="false"/>
                <w:bCs w:val="false"/>
                <w:color w:val="222222"/>
                <w:sz w:val="19"/>
                <w:szCs w:val="19"/>
              </w:rPr>
              <w:t xml:space="preserve">Fund release history + fund anomaly flags  [NEW]</w:t>
            </w:r>
          </w:p>
        </w:tc>
      </w:tr>
      <w:tr>
        <w:tc>
          <w:tcPr>
            <w:tcW w:type="dxa" w:w="5200"/>
            <w:shd w:fill="EDF1F7" w:val="clear"/>
            <w:tcMar>
              <w:top w:type="dxa" w:w="80"/>
              <w:left w:type="dxa" w:w="100"/>
              <w:bottom w:type="dxa" w:w="80"/>
              <w:right w:type="dxa" w:w="100"/>
            </w:tcMar>
          </w:tcPr>
          <w:p>
            <w:r>
              <w:rPr>
                <w:b w:val="false"/>
                <w:bCs w:val="false"/>
                <w:color w:val="222222"/>
                <w:sz w:val="19"/>
                <w:szCs w:val="19"/>
              </w:rPr>
              <w:t xml:space="preserve">GET /works/{workId}/lifecycle</w:t>
            </w:r>
          </w:p>
        </w:tc>
        <w:tc>
          <w:tcPr>
            <w:tcW w:type="dxa" w:w="4700"/>
            <w:shd w:fill="EDF1F7" w:val="clear"/>
            <w:tcMar>
              <w:top w:type="dxa" w:w="80"/>
              <w:left w:type="dxa" w:w="100"/>
              <w:bottom w:type="dxa" w:w="80"/>
              <w:right w:type="dxa" w:w="100"/>
            </w:tcMar>
          </w:tcPr>
          <w:p>
            <w:r>
              <w:rPr>
                <w:b w:val="false"/>
                <w:bCs w:val="false"/>
                <w:color w:val="222222"/>
                <w:sz w:val="19"/>
                <w:szCs w:val="19"/>
              </w:rPr>
              <w:t xml:space="preserve">Per-stage dates and stage delay flags  [NEW]</w:t>
            </w:r>
          </w:p>
        </w:tc>
      </w:tr>
      <w:tr>
        <w:tc>
          <w:tcPr>
            <w:tcW w:type="dxa" w:w="5200"/>
            <w:tcMar>
              <w:top w:type="dxa" w:w="80"/>
              <w:left w:type="dxa" w:w="100"/>
              <w:bottom w:type="dxa" w:w="80"/>
              <w:right w:type="dxa" w:w="100"/>
            </w:tcMar>
          </w:tcPr>
          <w:p>
            <w:r>
              <w:rPr>
                <w:b w:val="false"/>
                <w:bCs w:val="false"/>
                <w:color w:val="222222"/>
                <w:sz w:val="19"/>
                <w:szCs w:val="19"/>
              </w:rPr>
              <w:t xml:space="preserve">GET /duplicates/{workId}</w:t>
            </w:r>
          </w:p>
        </w:tc>
        <w:tc>
          <w:tcPr>
            <w:tcW w:type="dxa" w:w="4700"/>
            <w:tcMar>
              <w:top w:type="dxa" w:w="80"/>
              <w:left w:type="dxa" w:w="100"/>
              <w:bottom w:type="dxa" w:w="80"/>
              <w:right w:type="dxa" w:w="100"/>
            </w:tcMar>
          </w:tcPr>
          <w:p>
            <w:r>
              <w:rPr>
                <w:b w:val="false"/>
                <w:bCs w:val="false"/>
                <w:color w:val="222222"/>
                <w:sz w:val="19"/>
                <w:szCs w:val="19"/>
              </w:rPr>
              <w:t xml:space="preserve">Candidate duplicate matches with component scores</w:t>
            </w:r>
          </w:p>
        </w:tc>
      </w:tr>
      <w:tr>
        <w:tc>
          <w:tcPr>
            <w:tcW w:type="dxa" w:w="5200"/>
            <w:shd w:fill="EDF1F7" w:val="clear"/>
            <w:tcMar>
              <w:top w:type="dxa" w:w="80"/>
              <w:left w:type="dxa" w:w="100"/>
              <w:bottom w:type="dxa" w:w="80"/>
              <w:right w:type="dxa" w:w="100"/>
            </w:tcMar>
          </w:tcPr>
          <w:p>
            <w:r>
              <w:rPr>
                <w:b w:val="false"/>
                <w:bCs w:val="false"/>
                <w:color w:val="222222"/>
                <w:sz w:val="19"/>
                <w:szCs w:val="19"/>
              </w:rPr>
              <w:t xml:space="preserve">GET /inspections/priority?scope=</w:t>
            </w:r>
          </w:p>
        </w:tc>
        <w:tc>
          <w:tcPr>
            <w:tcW w:type="dxa" w:w="4700"/>
            <w:shd w:fill="EDF1F7" w:val="clear"/>
            <w:tcMar>
              <w:top w:type="dxa" w:w="80"/>
              <w:left w:type="dxa" w:w="100"/>
              <w:bottom w:type="dxa" w:w="80"/>
              <w:right w:type="dxa" w:w="100"/>
            </w:tcMar>
          </w:tcPr>
          <w:p>
            <w:r>
              <w:rPr>
                <w:b w:val="false"/>
                <w:bCs w:val="false"/>
                <w:color w:val="222222"/>
                <w:sz w:val="19"/>
                <w:szCs w:val="19"/>
              </w:rPr>
              <w:t xml:space="preserve">Priority-ranked inspection queue  [NEW]</w:t>
            </w:r>
          </w:p>
        </w:tc>
      </w:tr>
      <w:tr>
        <w:tc>
          <w:tcPr>
            <w:tcW w:type="dxa" w:w="5200"/>
            <w:tcMar>
              <w:top w:type="dxa" w:w="80"/>
              <w:left w:type="dxa" w:w="100"/>
              <w:bottom w:type="dxa" w:w="80"/>
              <w:right w:type="dxa" w:w="100"/>
            </w:tcMar>
          </w:tcPr>
          <w:p>
            <w:r>
              <w:rPr>
                <w:b w:val="false"/>
                <w:bCs w:val="false"/>
                <w:color w:val="222222"/>
                <w:sz w:val="19"/>
                <w:szCs w:val="19"/>
              </w:rPr>
              <w:t xml:space="preserve">POST /inspections</w:t>
            </w:r>
          </w:p>
        </w:tc>
        <w:tc>
          <w:tcPr>
            <w:tcW w:type="dxa" w:w="4700"/>
            <w:tcMar>
              <w:top w:type="dxa" w:w="80"/>
              <w:left w:type="dxa" w:w="100"/>
              <w:bottom w:type="dxa" w:w="80"/>
              <w:right w:type="dxa" w:w="100"/>
            </w:tcMar>
          </w:tcPr>
          <w:p>
            <w:r>
              <w:rPr>
                <w:b w:val="false"/>
                <w:bCs w:val="false"/>
                <w:color w:val="222222"/>
                <w:sz w:val="19"/>
                <w:szCs w:val="19"/>
              </w:rPr>
              <w:t xml:space="preserve">Create inspection record</w:t>
            </w:r>
          </w:p>
        </w:tc>
      </w:tr>
      <w:tr>
        <w:tc>
          <w:tcPr>
            <w:tcW w:type="dxa" w:w="5200"/>
            <w:shd w:fill="EDF1F7" w:val="clear"/>
            <w:tcMar>
              <w:top w:type="dxa" w:w="80"/>
              <w:left w:type="dxa" w:w="100"/>
              <w:bottom w:type="dxa" w:w="80"/>
              <w:right w:type="dxa" w:w="100"/>
            </w:tcMar>
          </w:tcPr>
          <w:p>
            <w:r>
              <w:rPr>
                <w:b w:val="false"/>
                <w:bCs w:val="false"/>
                <w:color w:val="222222"/>
                <w:sz w:val="19"/>
                <w:szCs w:val="19"/>
              </w:rPr>
              <w:t xml:space="preserve">PUT /inspections/{inspectionId}</w:t>
            </w:r>
          </w:p>
        </w:tc>
        <w:tc>
          <w:tcPr>
            <w:tcW w:type="dxa" w:w="4700"/>
            <w:shd w:fill="EDF1F7" w:val="clear"/>
            <w:tcMar>
              <w:top w:type="dxa" w:w="80"/>
              <w:left w:type="dxa" w:w="100"/>
              <w:bottom w:type="dxa" w:w="80"/>
              <w:right w:type="dxa" w:w="100"/>
            </w:tcMar>
          </w:tcPr>
          <w:p>
            <w:r>
              <w:rPr>
                <w:b w:val="false"/>
                <w:bCs w:val="false"/>
                <w:color w:val="222222"/>
                <w:sz w:val="19"/>
                <w:szCs w:val="19"/>
              </w:rPr>
              <w:t xml:space="preserve">Update status / decision / remarks</w:t>
            </w:r>
          </w:p>
        </w:tc>
      </w:tr>
      <w:tr>
        <w:tc>
          <w:tcPr>
            <w:tcW w:type="dxa" w:w="5200"/>
            <w:tcMar>
              <w:top w:type="dxa" w:w="80"/>
              <w:left w:type="dxa" w:w="100"/>
              <w:bottom w:type="dxa" w:w="80"/>
              <w:right w:type="dxa" w:w="100"/>
            </w:tcMar>
          </w:tcPr>
          <w:p>
            <w:r>
              <w:rPr>
                <w:b w:val="false"/>
                <w:bCs w:val="false"/>
                <w:color w:val="222222"/>
                <w:sz w:val="19"/>
                <w:szCs w:val="19"/>
              </w:rPr>
              <w:t xml:space="preserve">GET /data-quality/summary?scope=</w:t>
            </w:r>
          </w:p>
        </w:tc>
        <w:tc>
          <w:tcPr>
            <w:tcW w:type="dxa" w:w="4700"/>
            <w:tcMar>
              <w:top w:type="dxa" w:w="80"/>
              <w:left w:type="dxa" w:w="100"/>
              <w:bottom w:type="dxa" w:w="80"/>
              <w:right w:type="dxa" w:w="100"/>
            </w:tcMar>
          </w:tcPr>
          <w:p>
            <w:r>
              <w:rPr>
                <w:b w:val="false"/>
                <w:bCs w:val="false"/>
                <w:color w:val="222222"/>
                <w:sz w:val="19"/>
                <w:szCs w:val="19"/>
              </w:rPr>
              <w:t xml:space="preserve">Aggregated confidence &amp; missing-field stats  [NEW]</w:t>
            </w:r>
          </w:p>
        </w:tc>
      </w:tr>
      <w:tr>
        <w:tc>
          <w:tcPr>
            <w:tcW w:type="dxa" w:w="5200"/>
            <w:shd w:fill="EDF1F7" w:val="clear"/>
            <w:tcMar>
              <w:top w:type="dxa" w:w="80"/>
              <w:left w:type="dxa" w:w="100"/>
              <w:bottom w:type="dxa" w:w="80"/>
              <w:right w:type="dxa" w:w="100"/>
            </w:tcMar>
          </w:tcPr>
          <w:p>
            <w:r>
              <w:rPr>
                <w:b w:val="false"/>
                <w:bCs w:val="false"/>
                <w:color w:val="222222"/>
                <w:sz w:val="19"/>
                <w:szCs w:val="19"/>
              </w:rPr>
              <w:t xml:space="preserve">GET /audit-log?scope=&amp;from=&amp;to=</w:t>
            </w:r>
          </w:p>
        </w:tc>
        <w:tc>
          <w:tcPr>
            <w:tcW w:type="dxa" w:w="4700"/>
            <w:shd w:fill="EDF1F7" w:val="clear"/>
            <w:tcMar>
              <w:top w:type="dxa" w:w="80"/>
              <w:left w:type="dxa" w:w="100"/>
              <w:bottom w:type="dxa" w:w="80"/>
              <w:right w:type="dxa" w:w="100"/>
            </w:tcMar>
          </w:tcPr>
          <w:p>
            <w:r>
              <w:rPr>
                <w:b w:val="false"/>
                <w:bCs w:val="false"/>
                <w:color w:val="222222"/>
                <w:sz w:val="19"/>
                <w:szCs w:val="19"/>
              </w:rPr>
              <w:t xml:space="preserve">Audit trail query  [NEW]</w:t>
            </w:r>
          </w:p>
        </w:tc>
      </w:tr>
      <w:tr>
        <w:tc>
          <w:tcPr>
            <w:tcW w:type="dxa" w:w="5200"/>
            <w:tcMar>
              <w:top w:type="dxa" w:w="80"/>
              <w:left w:type="dxa" w:w="100"/>
              <w:bottom w:type="dxa" w:w="80"/>
              <w:right w:type="dxa" w:w="100"/>
            </w:tcMar>
          </w:tcPr>
          <w:p>
            <w:r>
              <w:rPr>
                <w:b w:val="false"/>
                <w:bCs w:val="false"/>
                <w:color w:val="222222"/>
                <w:sz w:val="19"/>
                <w:szCs w:val="19"/>
              </w:rPr>
              <w:t xml:space="preserve">GET/PUT /settings/risk-weights</w:t>
            </w:r>
          </w:p>
        </w:tc>
        <w:tc>
          <w:tcPr>
            <w:tcW w:type="dxa" w:w="4700"/>
            <w:tcMar>
              <w:top w:type="dxa" w:w="80"/>
              <w:left w:type="dxa" w:w="100"/>
              <w:bottom w:type="dxa" w:w="80"/>
              <w:right w:type="dxa" w:w="100"/>
            </w:tcMar>
          </w:tcPr>
          <w:p>
            <w:r>
              <w:rPr>
                <w:b w:val="false"/>
                <w:bCs w:val="false"/>
                <w:color w:val="222222"/>
                <w:sz w:val="19"/>
                <w:szCs w:val="19"/>
              </w:rPr>
              <w:t xml:space="preserve">View/update configurable risk weights (role-gated)</w:t>
            </w:r>
          </w:p>
        </w:tc>
      </w:tr>
    </w:tbl>
    <w:p>
      <w:pPr>
        <w:spacing w:after="120" w:before="160"/>
      </w:pPr>
    </w:p>
    <w:p>
      <w:pPr>
        <w:spacing w:after="120"/>
      </w:pPr>
      <w:r>
        <w:t xml:space="preserve">Role-based access control is unchanged in principle: MPs see only their constituency, district officers see their district, state/MoSPI admins see state/national data. Every write to inspections or risk-weight configuration triggers an audit_log entry.</w:t>
      </w:r>
    </w:p>
    <w:p>
      <w:pPr>
        <w:pStyle w:val="Heading2"/>
        <w:spacing w:after="120" w:before="260"/>
      </w:pPr>
      <w:r>
        <w:rPr>
          <w:b/>
          <w:bCs/>
          <w:color w:val="2E5C8A"/>
          <w:sz w:val="25"/>
          <w:szCs w:val="25"/>
        </w:rPr>
        <w:t xml:space="preserve">3.8 Frontend Dashboards  (CHANGED — module coverage)</w:t>
      </w:r>
    </w:p>
    <w:p>
      <w:pPr>
        <w:spacing w:after="120"/>
      </w:pPr>
      <w:r>
        <w:t xml:space="preserve">Technology: React. The dashboard set is unchanged in structure (MP / District / State-MoSPI) but each now has data to draw on for the previously-unsupported pages.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5700"/>
      </w:tblGrid>
      <w:tr>
        <w:trPr>
          <w:tblHeader/>
        </w:trPr>
        <w:tc>
          <w:tcPr>
            <w:tcW w:type="dxa" w:w="4200"/>
            <w:shd w:fill="1F3864" w:val="clear"/>
            <w:tcMar>
              <w:top w:type="dxa" w:w="80"/>
              <w:left w:type="dxa" w:w="100"/>
              <w:bottom w:type="dxa" w:w="80"/>
              <w:right w:type="dxa" w:w="100"/>
            </w:tcMar>
          </w:tcPr>
          <w:p>
            <w:r>
              <w:rPr>
                <w:b/>
                <w:bCs/>
                <w:color w:val="FFFFFF"/>
                <w:sz w:val="19"/>
                <w:szCs w:val="19"/>
              </w:rPr>
              <w:t xml:space="preserve">Dashboard / Page</w:t>
            </w:r>
          </w:p>
        </w:tc>
        <w:tc>
          <w:tcPr>
            <w:tcW w:type="dxa" w:w="5700"/>
            <w:shd w:fill="1F3864" w:val="clear"/>
            <w:tcMar>
              <w:top w:type="dxa" w:w="80"/>
              <w:left w:type="dxa" w:w="100"/>
              <w:bottom w:type="dxa" w:w="80"/>
              <w:right w:type="dxa" w:w="100"/>
            </w:tcMar>
          </w:tcPr>
          <w:p>
            <w:r>
              <w:rPr>
                <w:b/>
                <w:bCs/>
                <w:color w:val="FFFFFF"/>
                <w:sz w:val="19"/>
                <w:szCs w:val="19"/>
              </w:rPr>
              <w:t xml:space="preserve">New data now available</w:t>
            </w:r>
          </w:p>
        </w:tc>
      </w:tr>
      <w:tr>
        <w:tc>
          <w:tcPr>
            <w:tcW w:type="dxa" w:w="4200"/>
            <w:tcMar>
              <w:top w:type="dxa" w:w="80"/>
              <w:left w:type="dxa" w:w="100"/>
              <w:bottom w:type="dxa" w:w="80"/>
              <w:right w:type="dxa" w:w="100"/>
            </w:tcMar>
          </w:tcPr>
          <w:p>
            <w:r>
              <w:rPr>
                <w:b w:val="false"/>
                <w:bCs w:val="false"/>
                <w:color w:val="222222"/>
                <w:sz w:val="19"/>
                <w:szCs w:val="19"/>
              </w:rPr>
              <w:t xml:space="preserve">Compliance Centre</w:t>
            </w:r>
          </w:p>
        </w:tc>
        <w:tc>
          <w:tcPr>
            <w:tcW w:type="dxa" w:w="5700"/>
            <w:tcMar>
              <w:top w:type="dxa" w:w="80"/>
              <w:left w:type="dxa" w:w="100"/>
              <w:bottom w:type="dxa" w:w="80"/>
              <w:right w:type="dxa" w:w="100"/>
            </w:tcMar>
          </w:tcPr>
          <w:p>
            <w:r>
              <w:rPr>
                <w:b w:val="false"/>
                <w:bCs w:val="false"/>
                <w:color w:val="222222"/>
                <w:sz w:val="19"/>
                <w:szCs w:val="19"/>
              </w:rPr>
              <w:t xml:space="preserve">compliance_flags, compliance_rules reference data</w:t>
            </w:r>
          </w:p>
        </w:tc>
      </w:tr>
      <w:tr>
        <w:tc>
          <w:tcPr>
            <w:tcW w:type="dxa" w:w="4200"/>
            <w:shd w:fill="EDF1F7" w:val="clear"/>
            <w:tcMar>
              <w:top w:type="dxa" w:w="80"/>
              <w:left w:type="dxa" w:w="100"/>
              <w:bottom w:type="dxa" w:w="80"/>
              <w:right w:type="dxa" w:w="100"/>
            </w:tcMar>
          </w:tcPr>
          <w:p>
            <w:r>
              <w:rPr>
                <w:b w:val="false"/>
                <w:bCs w:val="false"/>
                <w:color w:val="222222"/>
                <w:sz w:val="19"/>
                <w:szCs w:val="19"/>
              </w:rPr>
              <w:t xml:space="preserve">Fund Flow</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fund_anomaly_score, fund_flags, release history</w:t>
            </w:r>
          </w:p>
        </w:tc>
      </w:tr>
      <w:tr>
        <w:tc>
          <w:tcPr>
            <w:tcW w:type="dxa" w:w="4200"/>
            <w:tcMar>
              <w:top w:type="dxa" w:w="80"/>
              <w:left w:type="dxa" w:w="100"/>
              <w:bottom w:type="dxa" w:w="80"/>
              <w:right w:type="dxa" w:w="100"/>
            </w:tcMar>
          </w:tcPr>
          <w:p>
            <w:r>
              <w:rPr>
                <w:b w:val="false"/>
                <w:bCs w:val="false"/>
                <w:color w:val="222222"/>
                <w:sz w:val="19"/>
                <w:szCs w:val="19"/>
              </w:rPr>
              <w:t xml:space="preserve">Inspection Priority</w:t>
            </w:r>
          </w:p>
        </w:tc>
        <w:tc>
          <w:tcPr>
            <w:tcW w:type="dxa" w:w="5700"/>
            <w:tcMar>
              <w:top w:type="dxa" w:w="80"/>
              <w:left w:type="dxa" w:w="100"/>
              <w:bottom w:type="dxa" w:w="80"/>
              <w:right w:type="dxa" w:w="100"/>
            </w:tcMar>
          </w:tcPr>
          <w:p>
            <w:r>
              <w:rPr>
                <w:b w:val="false"/>
                <w:bCs w:val="false"/>
                <w:color w:val="222222"/>
                <w:sz w:val="19"/>
                <w:szCs w:val="19"/>
              </w:rPr>
              <w:t xml:space="preserve">priority_score (risk × impact), inspection-mandatory tagging</w:t>
            </w:r>
          </w:p>
        </w:tc>
      </w:tr>
      <w:tr>
        <w:tc>
          <w:tcPr>
            <w:tcW w:type="dxa" w:w="4200"/>
            <w:shd w:fill="EDF1F7" w:val="clear"/>
            <w:tcMar>
              <w:top w:type="dxa" w:w="80"/>
              <w:left w:type="dxa" w:w="100"/>
              <w:bottom w:type="dxa" w:w="80"/>
              <w:right w:type="dxa" w:w="100"/>
            </w:tcMar>
          </w:tcPr>
          <w:p>
            <w:r>
              <w:rPr>
                <w:b w:val="false"/>
                <w:bCs w:val="false"/>
                <w:color w:val="222222"/>
                <w:sz w:val="19"/>
                <w:szCs w:val="19"/>
              </w:rPr>
              <w:t xml:space="preserve">Work Detail — lifecycle timeline</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per-stage dates and stage_delay_flags</w:t>
            </w:r>
          </w:p>
        </w:tc>
      </w:tr>
      <w:tr>
        <w:tc>
          <w:tcPr>
            <w:tcW w:type="dxa" w:w="4200"/>
            <w:tcMar>
              <w:top w:type="dxa" w:w="80"/>
              <w:left w:type="dxa" w:w="100"/>
              <w:bottom w:type="dxa" w:w="80"/>
              <w:right w:type="dxa" w:w="100"/>
            </w:tcMar>
          </w:tcPr>
          <w:p>
            <w:r>
              <w:rPr>
                <w:b w:val="false"/>
                <w:bCs w:val="false"/>
                <w:color w:val="222222"/>
                <w:sz w:val="19"/>
                <w:szCs w:val="19"/>
              </w:rPr>
              <w:t xml:space="preserve">Data Quality tab</w:t>
            </w:r>
          </w:p>
        </w:tc>
        <w:tc>
          <w:tcPr>
            <w:tcW w:type="dxa" w:w="5700"/>
            <w:tcMar>
              <w:top w:type="dxa" w:w="80"/>
              <w:left w:type="dxa" w:w="100"/>
              <w:bottom w:type="dxa" w:w="80"/>
              <w:right w:type="dxa" w:w="100"/>
            </w:tcMar>
          </w:tcPr>
          <w:p>
            <w:r>
              <w:rPr>
                <w:b w:val="false"/>
                <w:bCs w:val="false"/>
                <w:color w:val="222222"/>
                <w:sz w:val="19"/>
                <w:szCs w:val="19"/>
              </w:rPr>
              <w:t xml:space="preserve">data_confidence, completeness_flags, aggregate rollups</w:t>
            </w:r>
          </w:p>
        </w:tc>
      </w:tr>
      <w:tr>
        <w:tc>
          <w:tcPr>
            <w:tcW w:type="dxa" w:w="4200"/>
            <w:shd w:fill="EDF1F7" w:val="clear"/>
            <w:tcMar>
              <w:top w:type="dxa" w:w="80"/>
              <w:left w:type="dxa" w:w="100"/>
              <w:bottom w:type="dxa" w:w="80"/>
              <w:right w:type="dxa" w:w="100"/>
            </w:tcMar>
          </w:tcPr>
          <w:p>
            <w:r>
              <w:rPr>
                <w:b w:val="false"/>
                <w:bCs w:val="false"/>
                <w:color w:val="222222"/>
                <w:sz w:val="19"/>
                <w:szCs w:val="19"/>
              </w:rPr>
              <w:t xml:space="preserve">Audit Log tab</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audit_log entries</w:t>
            </w:r>
          </w:p>
        </w:tc>
      </w:tr>
    </w:tbl>
    <w:p>
      <w:pPr>
        <w:spacing w:after="0" w:before="160"/>
      </w:pPr>
    </w:p>
    <w:p>
      <w:pPr>
        <w:pStyle w:val="Heading2"/>
        <w:spacing w:after="120" w:before="260"/>
      </w:pPr>
      <w:r>
        <w:rPr>
          <w:b/>
          <w:bCs/>
          <w:color w:val="2E5C8A"/>
          <w:sz w:val="25"/>
          <w:szCs w:val="25"/>
        </w:rPr>
        <w:t xml:space="preserve">3.9 Action / Inspection Layer  (CHANGED — audit-logged)</w:t>
      </w:r>
    </w:p>
    <w:p>
      <w:pPr>
        <w:spacing w:after="120"/>
      </w:pPr>
      <w:r>
        <w:t xml:space="preserve">Purpose: turn risk insights into real-world action. Flow is unchanged; every action now writes to audit_log.</w:t>
      </w:r>
    </w:p>
    <w:p>
      <w:pPr>
        <w:pStyle w:val="ListParagraph"/>
        <w:numPr>
          <w:ilvl w:val="0"/>
          <w:numId w:val="2"/>
        </w:numPr>
        <w:spacing w:after="60"/>
      </w:pPr>
      <w:r>
        <w:t xml:space="preserve">High-risk / high-priority works appear in inspection priority queues on District/State dashboards, ranked by priority_score</w:t>
      </w:r>
    </w:p>
    <w:p>
      <w:pPr>
        <w:pStyle w:val="ListParagraph"/>
        <w:numPr>
          <w:ilvl w:val="0"/>
          <w:numId w:val="2"/>
        </w:numPr>
        <w:spacing w:after="60"/>
      </w:pPr>
      <w:r>
        <w:t xml:space="preserve">Officials can assign an inspector, update inspection status (Pending → InProgress → Completed), record findings and remarks, attach evidence</w:t>
      </w:r>
    </w:p>
    <w:p>
      <w:pPr>
        <w:pStyle w:val="ListParagraph"/>
        <w:numPr>
          <w:ilvl w:val="0"/>
          <w:numId w:val="2"/>
        </w:numPr>
        <w:spacing w:after="60"/>
      </w:pPr>
      <w:r>
        <w:t xml:space="preserve">Every assignment, status change, decision, and evidence upload is written to audit_log</w:t>
      </w:r>
      <w:r>
        <w:rPr>
          <w:b/>
          <w:bCs/>
          <w:color w:val="B15C00"/>
          <w:sz w:val="18"/>
          <w:szCs w:val="18"/>
        </w:rPr>
        <w:t xml:space="preserve">  [NEW]</w:t>
      </w:r>
    </w:p>
    <w:p>
      <w:pPr>
        <w:spacing w:after="120"/>
      </w:pPr>
      <w:r>
        <w:rPr>
          <w:b/>
          <w:bCs/>
        </w:rPr>
        <w:t xml:space="preserve">Closes the loop: data → risk/compliance → human review → action → audit.</w:t>
      </w:r>
    </w:p>
    <w:p>
      <w:pPr>
        <w:pStyle w:val="Heading1"/>
        <w:spacing w:after="160" w:before="360"/>
      </w:pPr>
      <w:r>
        <w:rPr>
          <w:b/>
          <w:bCs/>
          <w:color w:val="1F3864"/>
          <w:sz w:val="30"/>
          <w:szCs w:val="30"/>
        </w:rPr>
        <w:t xml:space="preserve">4. Data Flow Summary  (CHANGED)</w:t>
      </w:r>
    </w:p>
    <w:p>
      <w:pPr>
        <w:pStyle w:val="ListParagraph"/>
        <w:numPr>
          <w:ilvl w:val="0"/>
          <w:numId w:val="2"/>
        </w:numPr>
        <w:spacing w:after="60"/>
      </w:pPr>
      <w:r>
        <w:t xml:space="preserve">MPLADS data is ingested and cleaned by the Data Ingestion Layer; a data_confidence score is computed per record.</w:t>
      </w:r>
    </w:p>
    <w:p>
      <w:pPr>
        <w:pStyle w:val="ListParagraph"/>
        <w:numPr>
          <w:ilvl w:val="0"/>
          <w:numId w:val="2"/>
        </w:numPr>
        <w:spacing w:after="60"/>
      </w:pPr>
      <w:r>
        <w:t xml:space="preserve">Feature Engineering creates cost, lifecycle, text, fund-utilization, and compliance features.</w:t>
      </w:r>
    </w:p>
    <w:p>
      <w:pPr>
        <w:pStyle w:val="ListParagraph"/>
        <w:numPr>
          <w:ilvl w:val="0"/>
          <w:numId w:val="2"/>
        </w:numPr>
        <w:spacing w:after="60"/>
      </w:pPr>
      <w:r>
        <w:t xml:space="preserve">Five detection modules run in parallel: Cost Anomaly, Duplicate, Delay/Lifecycle, Fund-Flow Anomaly, Compliance Rules.</w:t>
      </w:r>
    </w:p>
    <w:p>
      <w:pPr>
        <w:pStyle w:val="ListParagraph"/>
        <w:numPr>
          <w:ilvl w:val="0"/>
          <w:numId w:val="2"/>
        </w:numPr>
        <w:spacing w:after="60"/>
      </w:pPr>
      <w:r>
        <w:t xml:space="preserve">The Risk / Impact / Priority Engine combines these signals into a risk_score, impact_score, priority_score, risk_level, and reason_codes[].</w:t>
      </w:r>
    </w:p>
    <w:p>
      <w:pPr>
        <w:pStyle w:val="ListParagraph"/>
        <w:numPr>
          <w:ilvl w:val="0"/>
          <w:numId w:val="2"/>
        </w:numPr>
        <w:spacing w:after="60"/>
      </w:pPr>
      <w:r>
        <w:t xml:space="preserve">Results are stored in PostgreSQL (works, detection_results, risk_scores, compliance_rules).</w:t>
      </w:r>
    </w:p>
    <w:p>
      <w:pPr>
        <w:pStyle w:val="ListParagraph"/>
        <w:numPr>
          <w:ilvl w:val="0"/>
          <w:numId w:val="2"/>
        </w:numPr>
        <w:spacing w:after="60"/>
      </w:pPr>
      <w:r>
        <w:t xml:space="preserve">The Spring Boot API exposes this data with role-based access, including the new compliance, fund-flow, priority, data-quality, and audit endpoints.</w:t>
      </w:r>
    </w:p>
    <w:p>
      <w:pPr>
        <w:pStyle w:val="ListParagraph"/>
        <w:numPr>
          <w:ilvl w:val="0"/>
          <w:numId w:val="2"/>
        </w:numPr>
        <w:spacing w:after="60"/>
      </w:pPr>
      <w:r>
        <w:t xml:space="preserve">React dashboards present risk- and priority-ranked views, including the previously-unsupported Compliance Centre, Fund Flow, and Data Quality/Audit pages.</w:t>
      </w:r>
    </w:p>
    <w:p>
      <w:pPr>
        <w:pStyle w:val="ListParagraph"/>
        <w:numPr>
          <w:ilvl w:val="0"/>
          <w:numId w:val="2"/>
        </w:numPr>
        <w:spacing w:after="60"/>
      </w:pPr>
      <w:r>
        <w:t xml:space="preserve">Officials use the Action/Inspection Layer to record decisions; every action is written to audit_log.</w:t>
      </w:r>
    </w:p>
    <w:p>
      <w:pPr>
        <w:pStyle w:val="Heading1"/>
        <w:spacing w:after="160" w:before="360"/>
      </w:pPr>
      <w:r>
        <w:rPr>
          <w:b/>
          <w:bCs/>
          <w:color w:val="1F3864"/>
          <w:sz w:val="30"/>
          <w:szCs w:val="30"/>
        </w:rPr>
        <w:t xml:space="preserve">5. Security &amp; Access Control  (CHANGED)</w:t>
      </w:r>
    </w:p>
    <w:p>
      <w:pPr>
        <w:pStyle w:val="ListParagraph"/>
        <w:numPr>
          <w:ilvl w:val="0"/>
          <w:numId w:val="2"/>
        </w:numPr>
        <w:spacing w:after="60"/>
      </w:pPr>
      <w:r>
        <w:t xml:space="preserve">Spring Security handles authentication and authorization.</w:t>
      </w:r>
    </w:p>
    <w:p>
      <w:pPr>
        <w:pStyle w:val="ListParagraph"/>
        <w:numPr>
          <w:ilvl w:val="0"/>
          <w:numId w:val="2"/>
        </w:numPr>
        <w:spacing w:after="60"/>
      </w:pPr>
      <w:r>
        <w:t xml:space="preserve">Users are assigned roles: MP, district_officer, state_admin, mospi_admin.</w:t>
      </w:r>
    </w:p>
    <w:p>
      <w:pPr>
        <w:pStyle w:val="ListParagraph"/>
        <w:numPr>
          <w:ilvl w:val="0"/>
          <w:numId w:val="2"/>
        </w:numPr>
        <w:spacing w:after="60"/>
      </w:pPr>
      <w:r>
        <w:t xml:space="preserve">Data access is filtered by constituency (MPs), district (district officers), state/national (state/MoSPI admins).</w:t>
      </w:r>
    </w:p>
    <w:p>
      <w:pPr>
        <w:pStyle w:val="ListParagraph"/>
        <w:numPr>
          <w:ilvl w:val="0"/>
          <w:numId w:val="2"/>
        </w:numPr>
        <w:spacing w:after="60"/>
      </w:pPr>
      <w:r>
        <w:t xml:space="preserve">All sensitive operations — inspection status changes, review decisions, evidence uploads, and risk-weight configuration changes — are written to the audit_log table, not just logged informally</w:t>
      </w:r>
      <w:r>
        <w:rPr>
          <w:b/>
          <w:bCs/>
          <w:color w:val="8A6D00"/>
          <w:sz w:val="18"/>
          <w:szCs w:val="18"/>
        </w:rPr>
        <w:t xml:space="preserve">  [CHANGED]</w:t>
      </w:r>
    </w:p>
    <w:p>
      <w:pPr>
        <w:pStyle w:val="ListParagraph"/>
        <w:numPr>
          <w:ilvl w:val="0"/>
          <w:numId w:val="2"/>
        </w:numPr>
        <w:spacing w:after="60"/>
      </w:pPr>
      <w:r>
        <w:t xml:space="preserve">Risk-weight configuration (Settings &gt; Risk Configuration) is restricted to authorized roles and itself audit-logged.</w:t>
      </w:r>
    </w:p>
    <w:p>
      <w:pPr>
        <w:pStyle w:val="Heading1"/>
        <w:spacing w:after="160" w:before="360"/>
      </w:pPr>
      <w:r>
        <w:rPr>
          <w:b/>
          <w:bCs/>
          <w:color w:val="1F3864"/>
          <w:sz w:val="30"/>
          <w:szCs w:val="30"/>
        </w:rPr>
        <w:t xml:space="preserve">6. Technology Stack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rPr>
          <w:tblHeader/>
        </w:trPr>
        <w:tc>
          <w:tcPr>
            <w:tcW w:type="dxa" w:w="3600"/>
            <w:shd w:fill="1F3864" w:val="clear"/>
            <w:tcMar>
              <w:top w:type="dxa" w:w="80"/>
              <w:left w:type="dxa" w:w="100"/>
              <w:bottom w:type="dxa" w:w="80"/>
              <w:right w:type="dxa" w:w="100"/>
            </w:tcMar>
          </w:tcPr>
          <w:p>
            <w:r>
              <w:rPr>
                <w:b/>
                <w:bCs/>
                <w:color w:val="FFFFFF"/>
                <w:sz w:val="19"/>
                <w:szCs w:val="19"/>
              </w:rPr>
              <w:t xml:space="preserve">Layer</w:t>
            </w:r>
          </w:p>
        </w:tc>
        <w:tc>
          <w:tcPr>
            <w:tcW w:type="dxa" w:w="6300"/>
            <w:shd w:fill="1F3864" w:val="clear"/>
            <w:tcMar>
              <w:top w:type="dxa" w:w="80"/>
              <w:left w:type="dxa" w:w="100"/>
              <w:bottom w:type="dxa" w:w="80"/>
              <w:right w:type="dxa" w:w="100"/>
            </w:tcMar>
          </w:tcPr>
          <w:p>
            <w:r>
              <w:rPr>
                <w:b/>
                <w:bCs/>
                <w:color w:val="FFFFFF"/>
                <w:sz w:val="19"/>
                <w:szCs w:val="19"/>
              </w:rPr>
              <w:t xml:space="preserve">Technology</w:t>
            </w:r>
          </w:p>
        </w:tc>
      </w:tr>
      <w:tr>
        <w:tc>
          <w:tcPr>
            <w:tcW w:type="dxa" w:w="3600"/>
            <w:tcMar>
              <w:top w:type="dxa" w:w="80"/>
              <w:left w:type="dxa" w:w="100"/>
              <w:bottom w:type="dxa" w:w="80"/>
              <w:right w:type="dxa" w:w="100"/>
            </w:tcMar>
          </w:tcPr>
          <w:p>
            <w:r>
              <w:rPr>
                <w:b w:val="false"/>
                <w:bCs w:val="false"/>
                <w:color w:val="222222"/>
                <w:sz w:val="19"/>
                <w:szCs w:val="19"/>
              </w:rPr>
              <w:t xml:space="preserve">Data Ingestion &amp; ML</w:t>
            </w:r>
          </w:p>
        </w:tc>
        <w:tc>
          <w:tcPr>
            <w:tcW w:type="dxa" w:w="6300"/>
            <w:tcMar>
              <w:top w:type="dxa" w:w="80"/>
              <w:left w:type="dxa" w:w="100"/>
              <w:bottom w:type="dxa" w:w="80"/>
              <w:right w:type="dxa" w:w="100"/>
            </w:tcMar>
          </w:tcPr>
          <w:p>
            <w:r>
              <w:rPr>
                <w:b w:val="false"/>
                <w:bCs w:val="false"/>
                <w:color w:val="222222"/>
                <w:sz w:val="19"/>
                <w:szCs w:val="19"/>
              </w:rPr>
              <w:t xml:space="preserve">Python, pandas, scikit-learn</w:t>
            </w:r>
          </w:p>
        </w:tc>
      </w:tr>
      <w:tr>
        <w:tc>
          <w:tcPr>
            <w:tcW w:type="dxa" w:w="3600"/>
            <w:shd w:fill="EDF1F7" w:val="clear"/>
            <w:tcMar>
              <w:top w:type="dxa" w:w="80"/>
              <w:left w:type="dxa" w:w="100"/>
              <w:bottom w:type="dxa" w:w="80"/>
              <w:right w:type="dxa" w:w="100"/>
            </w:tcMar>
          </w:tcPr>
          <w:p>
            <w:r>
              <w:rPr>
                <w:b w:val="false"/>
                <w:bCs w:val="false"/>
                <w:color w:val="222222"/>
                <w:sz w:val="19"/>
                <w:szCs w:val="19"/>
              </w:rPr>
              <w:t xml:space="preserve">Database</w:t>
            </w:r>
          </w:p>
        </w:tc>
        <w:tc>
          <w:tcPr>
            <w:tcW w:type="dxa" w:w="6300"/>
            <w:shd w:fill="EDF1F7" w:val="clear"/>
            <w:tcMar>
              <w:top w:type="dxa" w:w="80"/>
              <w:left w:type="dxa" w:w="100"/>
              <w:bottom w:type="dxa" w:w="80"/>
              <w:right w:type="dxa" w:w="100"/>
            </w:tcMar>
          </w:tcPr>
          <w:p>
            <w:r>
              <w:rPr>
                <w:b w:val="false"/>
                <w:bCs w:val="false"/>
                <w:color w:val="222222"/>
                <w:sz w:val="19"/>
                <w:szCs w:val="19"/>
              </w:rPr>
              <w:t xml:space="preserve">PostgreSQL</w:t>
            </w:r>
          </w:p>
        </w:tc>
      </w:tr>
      <w:tr>
        <w:tc>
          <w:tcPr>
            <w:tcW w:type="dxa" w:w="3600"/>
            <w:tcMar>
              <w:top w:type="dxa" w:w="80"/>
              <w:left w:type="dxa" w:w="100"/>
              <w:bottom w:type="dxa" w:w="80"/>
              <w:right w:type="dxa" w:w="100"/>
            </w:tcMar>
          </w:tcPr>
          <w:p>
            <w:r>
              <w:rPr>
                <w:b w:val="false"/>
                <w:bCs w:val="false"/>
                <w:color w:val="222222"/>
                <w:sz w:val="19"/>
                <w:szCs w:val="19"/>
              </w:rPr>
              <w:t xml:space="preserve">Backend</w:t>
            </w:r>
          </w:p>
        </w:tc>
        <w:tc>
          <w:tcPr>
            <w:tcW w:type="dxa" w:w="6300"/>
            <w:tcMar>
              <w:top w:type="dxa" w:w="80"/>
              <w:left w:type="dxa" w:w="100"/>
              <w:bottom w:type="dxa" w:w="80"/>
              <w:right w:type="dxa" w:w="100"/>
            </w:tcMar>
          </w:tcPr>
          <w:p>
            <w:r>
              <w:rPr>
                <w:b w:val="false"/>
                <w:bCs w:val="false"/>
                <w:color w:val="222222"/>
                <w:sz w:val="19"/>
                <w:szCs w:val="19"/>
              </w:rPr>
              <w:t xml:space="preserve">Spring Boot, Spring Security (Java)</w:t>
            </w:r>
          </w:p>
        </w:tc>
      </w:tr>
      <w:tr>
        <w:tc>
          <w:tcPr>
            <w:tcW w:type="dxa" w:w="3600"/>
            <w:shd w:fill="EDF1F7" w:val="clear"/>
            <w:tcMar>
              <w:top w:type="dxa" w:w="80"/>
              <w:left w:type="dxa" w:w="100"/>
              <w:bottom w:type="dxa" w:w="80"/>
              <w:right w:type="dxa" w:w="100"/>
            </w:tcMar>
          </w:tcPr>
          <w:p>
            <w:r>
              <w:rPr>
                <w:b w:val="false"/>
                <w:bCs w:val="false"/>
                <w:color w:val="222222"/>
                <w:sz w:val="19"/>
                <w:szCs w:val="19"/>
              </w:rPr>
              <w:t xml:space="preserve">Frontend</w:t>
            </w:r>
          </w:p>
        </w:tc>
        <w:tc>
          <w:tcPr>
            <w:tcW w:type="dxa" w:w="6300"/>
            <w:shd w:fill="EDF1F7" w:val="clear"/>
            <w:tcMar>
              <w:top w:type="dxa" w:w="80"/>
              <w:left w:type="dxa" w:w="100"/>
              <w:bottom w:type="dxa" w:w="80"/>
              <w:right w:type="dxa" w:w="100"/>
            </w:tcMar>
          </w:tcPr>
          <w:p>
            <w:r>
              <w:rPr>
                <w:b w:val="false"/>
                <w:bCs w:val="false"/>
                <w:color w:val="222222"/>
                <w:sz w:val="19"/>
                <w:szCs w:val="19"/>
              </w:rPr>
              <w:t xml:space="preserve">React</w:t>
            </w:r>
          </w:p>
        </w:tc>
      </w:tr>
      <w:tr>
        <w:tc>
          <w:tcPr>
            <w:tcW w:type="dxa" w:w="3600"/>
            <w:tcMar>
              <w:top w:type="dxa" w:w="80"/>
              <w:left w:type="dxa" w:w="100"/>
              <w:bottom w:type="dxa" w:w="80"/>
              <w:right w:type="dxa" w:w="100"/>
            </w:tcMar>
          </w:tcPr>
          <w:p>
            <w:r>
              <w:rPr>
                <w:b w:val="false"/>
                <w:bCs w:val="false"/>
                <w:color w:val="222222"/>
                <w:sz w:val="19"/>
                <w:szCs w:val="19"/>
              </w:rPr>
              <w:t xml:space="preserve">Deployment (optional for MVP)</w:t>
            </w:r>
          </w:p>
        </w:tc>
        <w:tc>
          <w:tcPr>
            <w:tcW w:type="dxa" w:w="6300"/>
            <w:tcMar>
              <w:top w:type="dxa" w:w="80"/>
              <w:left w:type="dxa" w:w="100"/>
              <w:bottom w:type="dxa" w:w="80"/>
              <w:right w:type="dxa" w:w="100"/>
            </w:tcMar>
          </w:tcPr>
          <w:p>
            <w:r>
              <w:rPr>
                <w:b w:val="false"/>
                <w:bCs w:val="false"/>
                <w:color w:val="222222"/>
                <w:sz w:val="19"/>
                <w:szCs w:val="19"/>
              </w:rPr>
              <w:t xml:space="preserve">Docker, cloud VM / container platform</w:t>
            </w:r>
          </w:p>
        </w:tc>
      </w:tr>
    </w:tbl>
    <w:p>
      <w:pPr>
        <w:spacing w:after="0" w:before="160"/>
      </w:pPr>
    </w:p>
    <w:p>
      <w:pPr>
        <w:spacing w:after="120"/>
      </w:pPr>
      <w:r>
        <w:rPr>
          <w:i/>
          <w:iCs/>
          <w:color w:val="666666"/>
          <w:sz w:val="20"/>
          <w:szCs w:val="20"/>
        </w:rPr>
        <w:t xml:space="preserve">Unchanged from the previous revision — the additions in this document are new modules and data, not a new stack.</w:t>
      </w:r>
    </w:p>
    <w:p>
      <w:pPr>
        <w:pStyle w:val="Heading1"/>
        <w:spacing w:after="160" w:before="360"/>
      </w:pPr>
      <w:r>
        <w:rPr>
          <w:b/>
          <w:bCs/>
          <w:color w:val="1F3864"/>
          <w:sz w:val="30"/>
          <w:szCs w:val="30"/>
        </w:rPr>
        <w:t xml:space="preserve">7. Future Enhancements (Optional)</w:t>
      </w:r>
    </w:p>
    <w:p>
      <w:pPr>
        <w:pStyle w:val="ListParagraph"/>
        <w:numPr>
          <w:ilvl w:val="0"/>
          <w:numId w:val="2"/>
        </w:numPr>
        <w:spacing w:after="60"/>
      </w:pPr>
      <w:r>
        <w:t xml:space="preserve">Feedback loop: use inspection outcomes (confirmed / false positive) to refine risk-scoring weights automatically.</w:t>
      </w:r>
    </w:p>
    <w:p>
      <w:pPr>
        <w:pStyle w:val="ListParagraph"/>
        <w:numPr>
          <w:ilvl w:val="0"/>
          <w:numId w:val="2"/>
        </w:numPr>
        <w:spacing w:after="60"/>
      </w:pPr>
      <w:r>
        <w:t xml:space="preserve">More advanced ML models (e.g., gradient boosting, deep learning for text similarity).</w:t>
      </w:r>
    </w:p>
    <w:p>
      <w:pPr>
        <w:pStyle w:val="ListParagraph"/>
        <w:numPr>
          <w:ilvl w:val="0"/>
          <w:numId w:val="2"/>
        </w:numPr>
        <w:spacing w:after="60"/>
      </w:pPr>
      <w:r>
        <w:t xml:space="preserve">Integration with additional government datasets (MoSPI, state portals).</w:t>
      </w:r>
    </w:p>
    <w:p>
      <w:pPr>
        <w:pStyle w:val="ListParagraph"/>
        <w:numPr>
          <w:ilvl w:val="0"/>
          <w:numId w:val="2"/>
        </w:numPr>
        <w:spacing w:after="60"/>
      </w:pPr>
      <w:r>
        <w:t xml:space="preserve">Automated alerts (email/SMS) for new high-priority works or newly mandatory-inspection works.</w:t>
      </w:r>
    </w:p>
    <w:p>
      <w:pPr>
        <w:pStyle w:val="ListParagraph"/>
        <w:numPr>
          <w:ilvl w:val="0"/>
          <w:numId w:val="2"/>
        </w:numPr>
        <w:spacing w:after="60"/>
      </w:pPr>
      <w:r>
        <w:t xml:space="preserve">Geo-tagged photo verification once eSAKSHI attachment data is confirmed accessible in bulk.</w:t>
      </w:r>
    </w:p>
    <w:p>
      <w:pPr>
        <w:pStyle w:val="ListParagraph"/>
        <w:numPr>
          <w:ilvl w:val="0"/>
          <w:numId w:val="2"/>
        </w:numPr>
        <w:spacing w:after="60"/>
      </w:pPr>
      <w:r>
        <w:t xml:space="preserve">Network/concentration analysis for agencies (Herfindahl-style score) once sufficient data volume exists to make it meaningful.</w:t>
      </w:r>
    </w:p>
    <w:p>
      <w:pPr>
        <w:pStyle w:val="Heading1"/>
        <w:spacing w:after="160" w:before="360"/>
      </w:pPr>
      <w:r>
        <w:rPr>
          <w:b/>
          <w:bCs/>
          <w:color w:val="1F3864"/>
          <w:sz w:val="30"/>
          <w:szCs w:val="30"/>
        </w:rPr>
        <w:t xml:space="preserve">Appendix — Summary of Changes from Revision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Area</w:t>
            </w:r>
          </w:p>
        </w:tc>
        <w:tc>
          <w:tcPr>
            <w:tcW w:type="dxa" w:w="6900"/>
            <w:shd w:fill="1F3864" w:val="clear"/>
            <w:tcMar>
              <w:top w:type="dxa" w:w="80"/>
              <w:left w:type="dxa" w:w="100"/>
              <w:bottom w:type="dxa" w:w="80"/>
              <w:right w:type="dxa" w:w="100"/>
            </w:tcMar>
          </w:tcPr>
          <w:p>
            <w:r>
              <w:rPr>
                <w:b/>
                <w:bCs/>
                <w:color w:val="FFFFFF"/>
                <w:sz w:val="19"/>
                <w:szCs w:val="19"/>
              </w:rPr>
              <w:t xml:space="preserve">Change</w:t>
            </w:r>
          </w:p>
        </w:tc>
      </w:tr>
      <w:tr>
        <w:tc>
          <w:tcPr>
            <w:tcW w:type="dxa" w:w="3000"/>
            <w:tcMar>
              <w:top w:type="dxa" w:w="80"/>
              <w:left w:type="dxa" w:w="100"/>
              <w:bottom w:type="dxa" w:w="80"/>
              <w:right w:type="dxa" w:w="100"/>
            </w:tcMar>
          </w:tcPr>
          <w:p>
            <w:r>
              <w:rPr>
                <w:b w:val="false"/>
                <w:bCs w:val="false"/>
                <w:color w:val="222222"/>
                <w:sz w:val="19"/>
                <w:szCs w:val="19"/>
              </w:rPr>
              <w:t xml:space="preserve">Detection modules</w:t>
            </w:r>
          </w:p>
        </w:tc>
        <w:tc>
          <w:tcPr>
            <w:tcW w:type="dxa" w:w="6900"/>
            <w:tcMar>
              <w:top w:type="dxa" w:w="80"/>
              <w:left w:type="dxa" w:w="100"/>
              <w:bottom w:type="dxa" w:w="80"/>
              <w:right w:type="dxa" w:w="100"/>
            </w:tcMar>
          </w:tcPr>
          <w:p>
            <w:r>
              <w:rPr>
                <w:b w:val="false"/>
                <w:bCs w:val="false"/>
                <w:color w:val="222222"/>
                <w:sz w:val="19"/>
                <w:szCs w:val="19"/>
              </w:rPr>
              <w:t xml:space="preserve">Added Fund-Flow Anomaly Detector and Compliance Rules Engine (3 → 5 modules)</w:t>
            </w:r>
          </w:p>
        </w:tc>
      </w:tr>
      <w:tr>
        <w:tc>
          <w:tcPr>
            <w:tcW w:type="dxa" w:w="3000"/>
            <w:shd w:fill="EDF1F7" w:val="clear"/>
            <w:tcMar>
              <w:top w:type="dxa" w:w="80"/>
              <w:left w:type="dxa" w:w="100"/>
              <w:bottom w:type="dxa" w:w="80"/>
              <w:right w:type="dxa" w:w="100"/>
            </w:tcMar>
          </w:tcPr>
          <w:p>
            <w:r>
              <w:rPr>
                <w:b w:val="false"/>
                <w:bCs w:val="false"/>
                <w:color w:val="222222"/>
                <w:sz w:val="19"/>
                <w:szCs w:val="19"/>
              </w:rPr>
              <w:t xml:space="preserve">Delay detection</w:t>
            </w:r>
          </w:p>
        </w:tc>
        <w:tc>
          <w:tcPr>
            <w:tcW w:type="dxa" w:w="6900"/>
            <w:shd w:fill="EDF1F7" w:val="clear"/>
            <w:tcMar>
              <w:top w:type="dxa" w:w="80"/>
              <w:left w:type="dxa" w:w="100"/>
              <w:bottom w:type="dxa" w:w="80"/>
              <w:right w:type="dxa" w:w="100"/>
            </w:tcMar>
          </w:tcPr>
          <w:p>
            <w:r>
              <w:rPr>
                <w:b w:val="false"/>
                <w:bCs w:val="false"/>
                <w:color w:val="222222"/>
                <w:sz w:val="19"/>
                <w:szCs w:val="19"/>
              </w:rPr>
              <w:t xml:space="preserve">Split into per-stage flags (sanction/start/execution/payment/closure) instead of one aggregate score</w:t>
            </w:r>
          </w:p>
        </w:tc>
      </w:tr>
      <w:tr>
        <w:tc>
          <w:tcPr>
            <w:tcW w:type="dxa" w:w="3000"/>
            <w:tcMar>
              <w:top w:type="dxa" w:w="80"/>
              <w:left w:type="dxa" w:w="100"/>
              <w:bottom w:type="dxa" w:w="80"/>
              <w:right w:type="dxa" w:w="100"/>
            </w:tcMar>
          </w:tcPr>
          <w:p>
            <w:r>
              <w:rPr>
                <w:b w:val="false"/>
                <w:bCs w:val="false"/>
                <w:color w:val="222222"/>
                <w:sz w:val="19"/>
                <w:szCs w:val="19"/>
              </w:rPr>
              <w:t xml:space="preserve">Duplicate detection</w:t>
            </w:r>
          </w:p>
        </w:tc>
        <w:tc>
          <w:tcPr>
            <w:tcW w:type="dxa" w:w="6900"/>
            <w:tcMar>
              <w:top w:type="dxa" w:w="80"/>
              <w:left w:type="dxa" w:w="100"/>
              <w:bottom w:type="dxa" w:w="80"/>
              <w:right w:type="dxa" w:w="100"/>
            </w:tcMar>
          </w:tcPr>
          <w:p>
            <w:r>
              <w:rPr>
                <w:b w:val="false"/>
                <w:bCs w:val="false"/>
                <w:color w:val="222222"/>
                <w:sz w:val="19"/>
                <w:szCs w:val="19"/>
              </w:rPr>
              <w:t xml:space="preserve">Added structured corroboration (amount/location/agency/date) alongside text similarity</w:t>
            </w:r>
          </w:p>
        </w:tc>
      </w:tr>
      <w:tr>
        <w:tc>
          <w:tcPr>
            <w:tcW w:type="dxa" w:w="3000"/>
            <w:shd w:fill="EDF1F7" w:val="clear"/>
            <w:tcMar>
              <w:top w:type="dxa" w:w="80"/>
              <w:left w:type="dxa" w:w="100"/>
              <w:bottom w:type="dxa" w:w="80"/>
              <w:right w:type="dxa" w:w="100"/>
            </w:tcMar>
          </w:tcPr>
          <w:p>
            <w:r>
              <w:rPr>
                <w:b w:val="false"/>
                <w:bCs w:val="false"/>
                <w:color w:val="222222"/>
                <w:sz w:val="19"/>
                <w:szCs w:val="19"/>
              </w:rPr>
              <w:t xml:space="preserve">Risk scoring</w:t>
            </w:r>
          </w:p>
        </w:tc>
        <w:tc>
          <w:tcPr>
            <w:tcW w:type="dxa" w:w="6900"/>
            <w:shd w:fill="EDF1F7" w:val="clear"/>
            <w:tcMar>
              <w:top w:type="dxa" w:w="80"/>
              <w:left w:type="dxa" w:w="100"/>
              <w:bottom w:type="dxa" w:w="80"/>
              <w:right w:type="dxa" w:w="100"/>
            </w:tcMar>
          </w:tcPr>
          <w:p>
            <w:r>
              <w:rPr>
                <w:b w:val="false"/>
                <w:bCs w:val="false"/>
                <w:color w:val="222222"/>
                <w:sz w:val="19"/>
                <w:szCs w:val="19"/>
              </w:rPr>
              <w:t xml:space="preserve">Split into risk_score, impact_score, and priority_score instead of one blended number</w:t>
            </w:r>
          </w:p>
        </w:tc>
      </w:tr>
      <w:tr>
        <w:tc>
          <w:tcPr>
            <w:tcW w:type="dxa" w:w="3000"/>
            <w:tcMar>
              <w:top w:type="dxa" w:w="80"/>
              <w:left w:type="dxa" w:w="100"/>
              <w:bottom w:type="dxa" w:w="80"/>
              <w:right w:type="dxa" w:w="100"/>
            </w:tcMar>
          </w:tcPr>
          <w:p>
            <w:r>
              <w:rPr>
                <w:b w:val="false"/>
                <w:bCs w:val="false"/>
                <w:color w:val="222222"/>
                <w:sz w:val="19"/>
                <w:szCs w:val="19"/>
              </w:rPr>
              <w:t xml:space="preserve">Data quality</w:t>
            </w:r>
          </w:p>
        </w:tc>
        <w:tc>
          <w:tcPr>
            <w:tcW w:type="dxa" w:w="6900"/>
            <w:tcMar>
              <w:top w:type="dxa" w:w="80"/>
              <w:left w:type="dxa" w:w="100"/>
              <w:bottom w:type="dxa" w:w="80"/>
              <w:right w:type="dxa" w:w="100"/>
            </w:tcMar>
          </w:tcPr>
          <w:p>
            <w:r>
              <w:rPr>
                <w:b w:val="false"/>
                <w:bCs w:val="false"/>
                <w:color w:val="222222"/>
                <w:sz w:val="19"/>
                <w:szCs w:val="19"/>
              </w:rPr>
              <w:t xml:space="preserve">Added data_confidence scoring and an explicit Insufficient-Data risk state</w:t>
            </w:r>
          </w:p>
        </w:tc>
      </w:tr>
      <w:tr>
        <w:tc>
          <w:tcPr>
            <w:tcW w:type="dxa" w:w="3000"/>
            <w:shd w:fill="EDF1F7" w:val="clear"/>
            <w:tcMar>
              <w:top w:type="dxa" w:w="80"/>
              <w:left w:type="dxa" w:w="100"/>
              <w:bottom w:type="dxa" w:w="80"/>
              <w:right w:type="dxa" w:w="100"/>
            </w:tcMar>
          </w:tcPr>
          <w:p>
            <w:r>
              <w:rPr>
                <w:b w:val="false"/>
                <w:bCs w:val="false"/>
                <w:color w:val="222222"/>
                <w:sz w:val="19"/>
                <w:szCs w:val="19"/>
              </w:rPr>
              <w:t xml:space="preserve">Database</w:t>
            </w:r>
          </w:p>
        </w:tc>
        <w:tc>
          <w:tcPr>
            <w:tcW w:type="dxa" w:w="6900"/>
            <w:shd w:fill="EDF1F7" w:val="clear"/>
            <w:tcMar>
              <w:top w:type="dxa" w:w="80"/>
              <w:left w:type="dxa" w:w="100"/>
              <w:bottom w:type="dxa" w:w="80"/>
              <w:right w:type="dxa" w:w="100"/>
            </w:tcMar>
          </w:tcPr>
          <w:p>
            <w:r>
              <w:rPr>
                <w:b w:val="false"/>
                <w:bCs w:val="false"/>
                <w:color w:val="222222"/>
                <w:sz w:val="19"/>
                <w:szCs w:val="19"/>
              </w:rPr>
              <w:t xml:space="preserve">Added compliance_rules and audit_log tables; extended works, detection_results, risk_scores, inspections</w:t>
            </w:r>
          </w:p>
        </w:tc>
      </w:tr>
      <w:tr>
        <w:tc>
          <w:tcPr>
            <w:tcW w:type="dxa" w:w="3000"/>
            <w:tcMar>
              <w:top w:type="dxa" w:w="80"/>
              <w:left w:type="dxa" w:w="100"/>
              <w:bottom w:type="dxa" w:w="80"/>
              <w:right w:type="dxa" w:w="100"/>
            </w:tcMar>
          </w:tcPr>
          <w:p>
            <w:r>
              <w:rPr>
                <w:b w:val="false"/>
                <w:bCs w:val="false"/>
                <w:color w:val="222222"/>
                <w:sz w:val="19"/>
                <w:szCs w:val="19"/>
              </w:rPr>
              <w:t xml:space="preserve">API</w:t>
            </w:r>
          </w:p>
        </w:tc>
        <w:tc>
          <w:tcPr>
            <w:tcW w:type="dxa" w:w="6900"/>
            <w:tcMar>
              <w:top w:type="dxa" w:w="80"/>
              <w:left w:type="dxa" w:w="100"/>
              <w:bottom w:type="dxa" w:w="80"/>
              <w:right w:type="dxa" w:w="100"/>
            </w:tcMar>
          </w:tcPr>
          <w:p>
            <w:r>
              <w:rPr>
                <w:b w:val="false"/>
                <w:bCs w:val="false"/>
                <w:color w:val="222222"/>
                <w:sz w:val="19"/>
                <w:szCs w:val="19"/>
              </w:rPr>
              <w:t xml:space="preserve">Added compliance, fund-flow, lifecycle, priority-queue, data-quality, and audit-log endpoints</w:t>
            </w:r>
          </w:p>
        </w:tc>
      </w:tr>
      <w:tr>
        <w:tc>
          <w:tcPr>
            <w:tcW w:type="dxa" w:w="3000"/>
            <w:shd w:fill="EDF1F7" w:val="clear"/>
            <w:tcMar>
              <w:top w:type="dxa" w:w="80"/>
              <w:left w:type="dxa" w:w="100"/>
              <w:bottom w:type="dxa" w:w="80"/>
              <w:right w:type="dxa" w:w="100"/>
            </w:tcMar>
          </w:tcPr>
          <w:p>
            <w:r>
              <w:rPr>
                <w:b w:val="false"/>
                <w:bCs w:val="false"/>
                <w:color w:val="222222"/>
                <w:sz w:val="19"/>
                <w:szCs w:val="19"/>
              </w:rPr>
              <w:t xml:space="preserve">Security</w:t>
            </w:r>
          </w:p>
        </w:tc>
        <w:tc>
          <w:tcPr>
            <w:tcW w:type="dxa" w:w="6900"/>
            <w:shd w:fill="EDF1F7" w:val="clear"/>
            <w:tcMar>
              <w:top w:type="dxa" w:w="80"/>
              <w:left w:type="dxa" w:w="100"/>
              <w:bottom w:type="dxa" w:w="80"/>
              <w:right w:type="dxa" w:w="100"/>
            </w:tcMar>
          </w:tcPr>
          <w:p>
            <w:r>
              <w:rPr>
                <w:b w:val="false"/>
                <w:bCs w:val="false"/>
                <w:color w:val="222222"/>
                <w:sz w:val="19"/>
                <w:szCs w:val="19"/>
              </w:rPr>
              <w:t xml:space="preserve">Formalized audit logging of all sensitive operations, not just “logged” in prose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2026-09-08T15:39:01.711Z</dcterms:created>
  <dcterms:modified xsi:type="dcterms:W3CDTF">2026-09-08T15:39:01.711Z</dcterms:modified>
</cp:coreProperties>
</file>

<file path=docProps/custom.xml><?xml version="1.0" encoding="utf-8"?>
<Properties xmlns="http://schemas.openxmlformats.org/officeDocument/2006/custom-properties" xmlns:vt="http://schemas.openxmlformats.org/officeDocument/2006/docPropsVTypes"/>
</file>