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496"/>
          <w:sz w:val="18"/>
          <w:szCs w:val="18"/>
        </w:rPr>
        <w:t xml:space="preserve">Project Design Phase</w:t>
      </w:r>
    </w:p>
    <w:p>
      <w:pPr>
        <w:pBdr>
          <w:bottom w:val="single" w:color="1F3864" w:sz="12" w:space="8"/>
        </w:pBdr>
        <w:spacing w:after="300"/>
        <w:jc w:val="center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Problem – Solution Fit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426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 September 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6426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AVANAPU ROOPA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426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Network Request Management in ServiceNow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18"/>
          <w:szCs w:val="18"/>
        </w:rPr>
        <w:t xml:space="preserve">Problem–Solution Fit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96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Problem–solution fit canvas adapted to the Automated Network Request Management project.</w:t>
      </w:r>
    </w:p>
    <w:p>
      <w:pPr>
        <w:spacing w:after="160"/>
      </w:pPr>
      <w:r>
        <w:rPr>
          <w:rFonts w:ascii="Arial" w:cs="Arial" w:eastAsia="Arial" w:hAnsi="Arial"/>
          <w:sz w:val="18"/>
          <w:szCs w:val="18"/>
        </w:rPr>
        <w:t xml:space="preserve">The canvas below maps the operational problem behind manual network request handling to the ServiceNow-based solution implemented for the Automated Network Request Management project.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6"/>
        <w:gridCol w:w="7040"/>
      </w:tblGrid>
      <w:tr>
        <w:trPr>
          <w:tblHeader/>
        </w:trPr>
        <w:tc>
          <w:tcPr>
            <w:tcW w:type="dxa" w:w="198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704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Fit</w:t>
            </w:r>
          </w:p>
        </w:tc>
      </w:tr>
      <w:tr>
        <w:tc>
          <w:tcPr>
            <w:tcW w:type="dxa" w:w="198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Problem</w:t>
            </w:r>
          </w:p>
        </w:tc>
        <w:tc>
          <w:tcPr>
            <w:tcW w:type="dxa" w:w="7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teams and end users lack a standardized way to submit, route, and track network-related service requests (new connections, access changes, device requests), resulting in delays, manual follow-ups, and inconsistent request data.</w:t>
            </w:r>
          </w:p>
        </w:tc>
      </w:tr>
      <w:tr>
        <w:tc>
          <w:tcPr>
            <w:tcW w:type="dxa" w:w="198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Solution</w:t>
            </w:r>
          </w:p>
        </w:tc>
        <w:tc>
          <w:tcPr>
            <w:tcW w:type="dxa" w:w="704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ServiceNow Automated Network Request Management application that captures network requests through a Service Catalog item, stores them in a dedicated custom table, routes them for approval, and automates fulfilment using Flow Designer.</w:t>
            </w:r>
          </w:p>
        </w:tc>
      </w:tr>
      <w:tr>
        <w:tc>
          <w:tcPr>
            <w:tcW w:type="dxa" w:w="198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Benefit</w:t>
            </w:r>
          </w:p>
        </w:tc>
        <w:tc>
          <w:tcPr>
            <w:tcW w:type="dxa" w:w="7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Requesters get a guided, self-service form with clear fields, dynamic UI logic, and real-time visibility into request status and approvals.</w:t>
            </w:r>
          </w:p>
        </w:tc>
      </w:tr>
      <w:tr>
        <w:tc>
          <w:tcPr>
            <w:tcW w:type="dxa" w:w="198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 Benefit</w:t>
            </w:r>
          </w:p>
        </w:tc>
        <w:tc>
          <w:tcPr>
            <w:tcW w:type="dxa" w:w="704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and IT teams gain a centralized, structured dataset with enforced mandatory fields, standardized approval routing, and automated notifications, reducing manual triage effort.</w:t>
            </w:r>
          </w:p>
        </w:tc>
      </w:tr>
      <w:tr>
        <w:tc>
          <w:tcPr>
            <w:tcW w:type="dxa" w:w="198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Uniqueness</w:t>
            </w:r>
          </w:p>
        </w:tc>
        <w:tc>
          <w:tcPr>
            <w:tcW w:type="dxa" w:w="704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Combines a purpose-built network request data model, a custom relationship linking approval records (sysapprovals) to the request table, conditional UI Policies for device and connection type, and end-to-end Flow Designer automation (create record, request approval, send email, update record).</w:t>
            </w:r>
          </w:p>
        </w:tc>
      </w:tr>
      <w:tr>
        <w:tc>
          <w:tcPr>
            <w:tcW w:type="dxa" w:w="198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</w:t>
            </w:r>
          </w:p>
        </w:tc>
        <w:tc>
          <w:tcPr>
            <w:tcW w:type="dxa" w:w="704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solution can be extended with SLA-based escalation, CMDB integration for network configuration items, richer reporting/dashboards, and additional request types beyond the initial scope.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</w:pPr>
    <w:r>
      <w:rPr>
        <w:rFonts w:ascii="Arial" w:cs="Arial" w:eastAsia="Arial" w:hAnsi="Arial"/>
        <w:b/>
        <w:bCs/>
        <w:color w:val="777777"/>
        <w:sz w:val="18"/>
        <w:szCs w:val="18"/>
      </w:rPr>
      <w:t xml:space="preserve">Automated Network Request Management in ServiceNow — Problem–Solution Fit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a4a3323136dca03dc7bec3bbb678ed38a00eec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2026-09-08T20:05:53.091Z</dcterms:created>
  <dcterms:modified xsi:type="dcterms:W3CDTF">2026-09-08T20:05:53.102Z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