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007D" w14:textId="77777777" w:rsidR="00150229" w:rsidRPr="00E928EE" w:rsidRDefault="00000000" w:rsidP="00E928EE">
      <w:pPr>
        <w:spacing w:after="100" w:line="276" w:lineRule="auto"/>
        <w:jc w:val="center"/>
        <w:rPr>
          <w:rFonts w:ascii="Times New Roman" w:hAnsi="Times New Roman" w:cs="Times New Roman"/>
        </w:rPr>
      </w:pPr>
      <w:r w:rsidRPr="00E928EE">
        <w:rPr>
          <w:rFonts w:ascii="Times New Roman" w:hAnsi="Times New Roman" w:cs="Times New Roman"/>
          <w:b/>
          <w:bCs/>
          <w:color w:val="2E6F8E"/>
          <w:spacing w:val="20"/>
          <w:sz w:val="24"/>
          <w:szCs w:val="24"/>
        </w:rPr>
        <w:t>MEDICAL WRITING INTERNSHIP</w:t>
      </w:r>
    </w:p>
    <w:p w14:paraId="0813B6BF" w14:textId="77777777" w:rsidR="00150229" w:rsidRPr="00E928EE" w:rsidRDefault="00000000" w:rsidP="00E928EE">
      <w:pPr>
        <w:spacing w:before="300" w:after="100" w:line="276" w:lineRule="auto"/>
        <w:jc w:val="center"/>
        <w:rPr>
          <w:rFonts w:ascii="Times New Roman" w:hAnsi="Times New Roman" w:cs="Times New Roman"/>
        </w:rPr>
      </w:pPr>
      <w:r w:rsidRPr="00E928EE">
        <w:rPr>
          <w:rFonts w:ascii="Times New Roman" w:hAnsi="Times New Roman" w:cs="Times New Roman"/>
          <w:b/>
          <w:bCs/>
          <w:color w:val="1F3A5F"/>
          <w:sz w:val="40"/>
          <w:szCs w:val="40"/>
        </w:rPr>
        <w:t>Artificial Intelligence in Patient Education and</w:t>
      </w:r>
    </w:p>
    <w:p w14:paraId="7756701C" w14:textId="77777777" w:rsidR="00150229" w:rsidRPr="00E928EE" w:rsidRDefault="00000000" w:rsidP="00E928EE">
      <w:pPr>
        <w:spacing w:after="300" w:line="276" w:lineRule="auto"/>
        <w:jc w:val="center"/>
        <w:rPr>
          <w:rFonts w:ascii="Times New Roman" w:hAnsi="Times New Roman" w:cs="Times New Roman"/>
        </w:rPr>
      </w:pPr>
      <w:r w:rsidRPr="00E928EE">
        <w:rPr>
          <w:rFonts w:ascii="Times New Roman" w:hAnsi="Times New Roman" w:cs="Times New Roman"/>
          <w:b/>
          <w:bCs/>
          <w:color w:val="1F3A5F"/>
          <w:sz w:val="40"/>
          <w:szCs w:val="40"/>
        </w:rPr>
        <w:t>Healthcare Communication: A Narrative Review</w:t>
      </w:r>
    </w:p>
    <w:p w14:paraId="4A17E140" w14:textId="77777777" w:rsidR="00150229" w:rsidRPr="00E928EE" w:rsidRDefault="00000000" w:rsidP="00E928EE">
      <w:pPr>
        <w:spacing w:after="900" w:line="276" w:lineRule="auto"/>
        <w:jc w:val="center"/>
        <w:rPr>
          <w:rFonts w:ascii="Times New Roman" w:hAnsi="Times New Roman" w:cs="Times New Roman"/>
        </w:rPr>
      </w:pPr>
      <w:r w:rsidRPr="00E928EE">
        <w:rPr>
          <w:rFonts w:ascii="Times New Roman" w:hAnsi="Times New Roman" w:cs="Times New Roman"/>
          <w:i/>
          <w:iCs/>
          <w:color w:val="595959"/>
          <w:sz w:val="24"/>
          <w:szCs w:val="24"/>
        </w:rPr>
        <w:t>Week 1 Task: Topic Proposal, Literature Research, and Outline Development</w:t>
      </w:r>
    </w:p>
    <w:tbl>
      <w:tblPr>
        <w:tblW w:w="7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4831"/>
      </w:tblGrid>
      <w:tr w:rsidR="00150229" w:rsidRPr="00E928EE" w14:paraId="5526F46F" w14:textId="77777777" w:rsidTr="00E928EE">
        <w:tblPrEx>
          <w:tblCellMar>
            <w:top w:w="0" w:type="dxa"/>
            <w:bottom w:w="0" w:type="dxa"/>
          </w:tblCellMar>
        </w:tblPrEx>
        <w:trPr>
          <w:trHeight w:val="1270"/>
          <w:jc w:val="center"/>
        </w:trPr>
        <w:tc>
          <w:tcPr>
            <w:tcW w:w="2263" w:type="dxa"/>
            <w:shd w:val="clear" w:color="auto" w:fill="EAF1F6"/>
            <w:tcMar>
              <w:top w:w="100" w:type="dxa"/>
              <w:left w:w="150" w:type="dxa"/>
              <w:bottom w:w="100" w:type="dxa"/>
              <w:right w:w="150" w:type="dxa"/>
            </w:tcMar>
            <w:vAlign w:val="center"/>
          </w:tcPr>
          <w:p w14:paraId="1129307D"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b/>
                <w:bCs/>
                <w:color w:val="1F3A5F"/>
                <w:sz w:val="20"/>
                <w:szCs w:val="20"/>
              </w:rPr>
              <w:t>Program</w:t>
            </w:r>
          </w:p>
        </w:tc>
        <w:tc>
          <w:tcPr>
            <w:tcW w:w="4831" w:type="dxa"/>
            <w:tcMar>
              <w:top w:w="100" w:type="dxa"/>
              <w:left w:w="150" w:type="dxa"/>
              <w:bottom w:w="100" w:type="dxa"/>
              <w:right w:w="150" w:type="dxa"/>
            </w:tcMar>
            <w:vAlign w:val="center"/>
          </w:tcPr>
          <w:p w14:paraId="7435F5E3" w14:textId="620D80A1"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sz w:val="20"/>
                <w:szCs w:val="20"/>
              </w:rPr>
              <w:t>Yuva</w:t>
            </w:r>
            <w:r w:rsidR="00A31C27" w:rsidRPr="00E928EE">
              <w:rPr>
                <w:rFonts w:ascii="Times New Roman" w:hAnsi="Times New Roman" w:cs="Times New Roman"/>
                <w:sz w:val="20"/>
                <w:szCs w:val="20"/>
              </w:rPr>
              <w:t xml:space="preserve"> </w:t>
            </w:r>
            <w:r w:rsidRPr="00E928EE">
              <w:rPr>
                <w:rFonts w:ascii="Times New Roman" w:hAnsi="Times New Roman" w:cs="Times New Roman"/>
                <w:sz w:val="20"/>
                <w:szCs w:val="20"/>
              </w:rPr>
              <w:t>Intern / Henry Harvin Medical Writing Internship</w:t>
            </w:r>
          </w:p>
        </w:tc>
      </w:tr>
      <w:tr w:rsidR="00150229" w:rsidRPr="00E928EE" w14:paraId="24054B32" w14:textId="77777777" w:rsidTr="00E928EE">
        <w:tblPrEx>
          <w:tblCellMar>
            <w:top w:w="0" w:type="dxa"/>
            <w:bottom w:w="0" w:type="dxa"/>
          </w:tblCellMar>
        </w:tblPrEx>
        <w:trPr>
          <w:trHeight w:val="620"/>
          <w:jc w:val="center"/>
        </w:trPr>
        <w:tc>
          <w:tcPr>
            <w:tcW w:w="2263" w:type="dxa"/>
            <w:shd w:val="clear" w:color="auto" w:fill="EAF1F6"/>
            <w:tcMar>
              <w:top w:w="100" w:type="dxa"/>
              <w:left w:w="150" w:type="dxa"/>
              <w:bottom w:w="100" w:type="dxa"/>
              <w:right w:w="150" w:type="dxa"/>
            </w:tcMar>
            <w:vAlign w:val="center"/>
          </w:tcPr>
          <w:p w14:paraId="527C209D"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b/>
                <w:bCs/>
                <w:color w:val="1F3A5F"/>
                <w:sz w:val="20"/>
                <w:szCs w:val="20"/>
              </w:rPr>
              <w:t>Prepared by</w:t>
            </w:r>
          </w:p>
        </w:tc>
        <w:tc>
          <w:tcPr>
            <w:tcW w:w="4831" w:type="dxa"/>
            <w:tcMar>
              <w:top w:w="100" w:type="dxa"/>
              <w:left w:w="150" w:type="dxa"/>
              <w:bottom w:w="100" w:type="dxa"/>
              <w:right w:w="150" w:type="dxa"/>
            </w:tcMar>
            <w:vAlign w:val="center"/>
          </w:tcPr>
          <w:p w14:paraId="7EFBFC26" w14:textId="686ADA16"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sz w:val="20"/>
                <w:szCs w:val="20"/>
              </w:rPr>
              <w:t>Kartik</w:t>
            </w:r>
            <w:r w:rsidR="00A31C27" w:rsidRPr="00E928EE">
              <w:rPr>
                <w:rFonts w:ascii="Times New Roman" w:hAnsi="Times New Roman" w:cs="Times New Roman"/>
                <w:sz w:val="20"/>
                <w:szCs w:val="20"/>
              </w:rPr>
              <w:t xml:space="preserve"> .</w:t>
            </w:r>
            <w:r w:rsidRPr="00E928EE">
              <w:rPr>
                <w:rFonts w:ascii="Times New Roman" w:hAnsi="Times New Roman" w:cs="Times New Roman"/>
                <w:sz w:val="20"/>
                <w:szCs w:val="20"/>
              </w:rPr>
              <w:t xml:space="preserve"> H</w:t>
            </w:r>
          </w:p>
        </w:tc>
      </w:tr>
      <w:tr w:rsidR="00150229" w:rsidRPr="00E928EE" w14:paraId="091C8F5F" w14:textId="77777777" w:rsidTr="00E928EE">
        <w:tblPrEx>
          <w:tblCellMar>
            <w:top w:w="0" w:type="dxa"/>
            <w:bottom w:w="0" w:type="dxa"/>
          </w:tblCellMar>
        </w:tblPrEx>
        <w:trPr>
          <w:trHeight w:val="648"/>
          <w:jc w:val="center"/>
        </w:trPr>
        <w:tc>
          <w:tcPr>
            <w:tcW w:w="2263" w:type="dxa"/>
            <w:shd w:val="clear" w:color="auto" w:fill="EAF1F6"/>
            <w:tcMar>
              <w:top w:w="100" w:type="dxa"/>
              <w:left w:w="150" w:type="dxa"/>
              <w:bottom w:w="100" w:type="dxa"/>
              <w:right w:w="150" w:type="dxa"/>
            </w:tcMar>
            <w:vAlign w:val="center"/>
          </w:tcPr>
          <w:p w14:paraId="7A228DB5"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b/>
                <w:bCs/>
                <w:color w:val="1F3A5F"/>
                <w:sz w:val="20"/>
                <w:szCs w:val="20"/>
              </w:rPr>
              <w:t>Role</w:t>
            </w:r>
          </w:p>
        </w:tc>
        <w:tc>
          <w:tcPr>
            <w:tcW w:w="4831" w:type="dxa"/>
            <w:tcMar>
              <w:top w:w="100" w:type="dxa"/>
              <w:left w:w="150" w:type="dxa"/>
              <w:bottom w:w="100" w:type="dxa"/>
              <w:right w:w="150" w:type="dxa"/>
            </w:tcMar>
            <w:vAlign w:val="center"/>
          </w:tcPr>
          <w:p w14:paraId="1AA36313"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sz w:val="20"/>
                <w:szCs w:val="20"/>
              </w:rPr>
              <w:t>Junior Medical Writing Intern</w:t>
            </w:r>
          </w:p>
        </w:tc>
      </w:tr>
      <w:tr w:rsidR="00150229" w:rsidRPr="00E928EE" w14:paraId="2F04B4F0" w14:textId="77777777" w:rsidTr="00E928EE">
        <w:tblPrEx>
          <w:tblCellMar>
            <w:top w:w="0" w:type="dxa"/>
            <w:bottom w:w="0" w:type="dxa"/>
          </w:tblCellMar>
        </w:tblPrEx>
        <w:trPr>
          <w:trHeight w:val="620"/>
          <w:jc w:val="center"/>
        </w:trPr>
        <w:tc>
          <w:tcPr>
            <w:tcW w:w="2263" w:type="dxa"/>
            <w:shd w:val="clear" w:color="auto" w:fill="EAF1F6"/>
            <w:tcMar>
              <w:top w:w="100" w:type="dxa"/>
              <w:left w:w="150" w:type="dxa"/>
              <w:bottom w:w="100" w:type="dxa"/>
              <w:right w:w="150" w:type="dxa"/>
            </w:tcMar>
            <w:vAlign w:val="center"/>
          </w:tcPr>
          <w:p w14:paraId="27B4DD38"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b/>
                <w:bCs/>
                <w:color w:val="1F3A5F"/>
                <w:sz w:val="20"/>
                <w:szCs w:val="20"/>
              </w:rPr>
              <w:t>Duration</w:t>
            </w:r>
          </w:p>
        </w:tc>
        <w:tc>
          <w:tcPr>
            <w:tcW w:w="4831" w:type="dxa"/>
            <w:tcMar>
              <w:top w:w="100" w:type="dxa"/>
              <w:left w:w="150" w:type="dxa"/>
              <w:bottom w:w="100" w:type="dxa"/>
              <w:right w:w="150" w:type="dxa"/>
            </w:tcMar>
            <w:vAlign w:val="center"/>
          </w:tcPr>
          <w:p w14:paraId="60977F8A" w14:textId="59530C58" w:rsidR="00150229" w:rsidRPr="00E928EE" w:rsidRDefault="00A31C27" w:rsidP="00E928EE">
            <w:pPr>
              <w:spacing w:line="276" w:lineRule="auto"/>
              <w:jc w:val="both"/>
              <w:rPr>
                <w:rFonts w:ascii="Times New Roman" w:hAnsi="Times New Roman" w:cs="Times New Roman"/>
              </w:rPr>
            </w:pPr>
            <w:r w:rsidRPr="00E928EE">
              <w:rPr>
                <w:rFonts w:ascii="Times New Roman" w:hAnsi="Times New Roman" w:cs="Times New Roman"/>
                <w:sz w:val="20"/>
                <w:szCs w:val="20"/>
              </w:rPr>
              <w:t>18</w:t>
            </w:r>
            <w:r w:rsidR="00000000" w:rsidRPr="00E928EE">
              <w:rPr>
                <w:rFonts w:ascii="Times New Roman" w:hAnsi="Times New Roman" w:cs="Times New Roman"/>
                <w:sz w:val="20"/>
                <w:szCs w:val="20"/>
              </w:rPr>
              <w:t xml:space="preserve"> July 2026 – 15 August 2026 (4 Weeks)</w:t>
            </w:r>
          </w:p>
        </w:tc>
      </w:tr>
      <w:tr w:rsidR="00150229" w:rsidRPr="00E928EE" w14:paraId="34B7C56F" w14:textId="77777777" w:rsidTr="00E928EE">
        <w:tblPrEx>
          <w:tblCellMar>
            <w:top w:w="0" w:type="dxa"/>
            <w:bottom w:w="0" w:type="dxa"/>
          </w:tblCellMar>
        </w:tblPrEx>
        <w:trPr>
          <w:trHeight w:val="648"/>
          <w:jc w:val="center"/>
        </w:trPr>
        <w:tc>
          <w:tcPr>
            <w:tcW w:w="2263" w:type="dxa"/>
            <w:shd w:val="clear" w:color="auto" w:fill="EAF1F6"/>
            <w:tcMar>
              <w:top w:w="100" w:type="dxa"/>
              <w:left w:w="150" w:type="dxa"/>
              <w:bottom w:w="100" w:type="dxa"/>
              <w:right w:w="150" w:type="dxa"/>
            </w:tcMar>
            <w:vAlign w:val="center"/>
          </w:tcPr>
          <w:p w14:paraId="629E32ED"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b/>
                <w:bCs/>
                <w:color w:val="1F3A5F"/>
                <w:sz w:val="20"/>
                <w:szCs w:val="20"/>
              </w:rPr>
              <w:t>Task Period</w:t>
            </w:r>
          </w:p>
        </w:tc>
        <w:tc>
          <w:tcPr>
            <w:tcW w:w="4831" w:type="dxa"/>
            <w:tcMar>
              <w:top w:w="100" w:type="dxa"/>
              <w:left w:w="150" w:type="dxa"/>
              <w:bottom w:w="100" w:type="dxa"/>
              <w:right w:w="150" w:type="dxa"/>
            </w:tcMar>
            <w:vAlign w:val="center"/>
          </w:tcPr>
          <w:p w14:paraId="6A14A2D5"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sz w:val="20"/>
                <w:szCs w:val="20"/>
              </w:rPr>
              <w:t>Week 1</w:t>
            </w:r>
          </w:p>
        </w:tc>
      </w:tr>
      <w:tr w:rsidR="00150229" w:rsidRPr="00E928EE" w14:paraId="3F56DF1B" w14:textId="77777777" w:rsidTr="00E928EE">
        <w:tblPrEx>
          <w:tblCellMar>
            <w:top w:w="0" w:type="dxa"/>
            <w:bottom w:w="0" w:type="dxa"/>
          </w:tblCellMar>
        </w:tblPrEx>
        <w:trPr>
          <w:trHeight w:val="620"/>
          <w:jc w:val="center"/>
        </w:trPr>
        <w:tc>
          <w:tcPr>
            <w:tcW w:w="2263" w:type="dxa"/>
            <w:shd w:val="clear" w:color="auto" w:fill="EAF1F6"/>
            <w:tcMar>
              <w:top w:w="100" w:type="dxa"/>
              <w:left w:w="150" w:type="dxa"/>
              <w:bottom w:w="100" w:type="dxa"/>
              <w:right w:w="150" w:type="dxa"/>
            </w:tcMar>
            <w:vAlign w:val="center"/>
          </w:tcPr>
          <w:p w14:paraId="091DF710"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b/>
                <w:bCs/>
                <w:color w:val="1F3A5F"/>
                <w:sz w:val="20"/>
                <w:szCs w:val="20"/>
              </w:rPr>
              <w:t>Location</w:t>
            </w:r>
          </w:p>
        </w:tc>
        <w:tc>
          <w:tcPr>
            <w:tcW w:w="4831" w:type="dxa"/>
            <w:tcMar>
              <w:top w:w="100" w:type="dxa"/>
              <w:left w:w="150" w:type="dxa"/>
              <w:bottom w:w="100" w:type="dxa"/>
              <w:right w:w="150" w:type="dxa"/>
            </w:tcMar>
            <w:vAlign w:val="center"/>
          </w:tcPr>
          <w:p w14:paraId="5D9BDC14" w14:textId="724F193B"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sz w:val="20"/>
                <w:szCs w:val="20"/>
              </w:rPr>
              <w:t>Koppal</w:t>
            </w:r>
            <w:r w:rsidR="00A31C27" w:rsidRPr="00E928EE">
              <w:rPr>
                <w:rFonts w:ascii="Times New Roman" w:hAnsi="Times New Roman" w:cs="Times New Roman"/>
                <w:sz w:val="20"/>
                <w:szCs w:val="20"/>
              </w:rPr>
              <w:t>a</w:t>
            </w:r>
            <w:r w:rsidRPr="00E928EE">
              <w:rPr>
                <w:rFonts w:ascii="Times New Roman" w:hAnsi="Times New Roman" w:cs="Times New Roman"/>
                <w:sz w:val="20"/>
                <w:szCs w:val="20"/>
              </w:rPr>
              <w:t>, Karnataka, India</w:t>
            </w:r>
          </w:p>
        </w:tc>
      </w:tr>
      <w:tr w:rsidR="00150229" w:rsidRPr="00E928EE" w14:paraId="0E8DE37E" w14:textId="77777777" w:rsidTr="00E928EE">
        <w:tblPrEx>
          <w:tblCellMar>
            <w:top w:w="0" w:type="dxa"/>
            <w:bottom w:w="0" w:type="dxa"/>
          </w:tblCellMar>
        </w:tblPrEx>
        <w:trPr>
          <w:trHeight w:val="648"/>
          <w:jc w:val="center"/>
        </w:trPr>
        <w:tc>
          <w:tcPr>
            <w:tcW w:w="2263" w:type="dxa"/>
            <w:shd w:val="clear" w:color="auto" w:fill="EAF1F6"/>
            <w:tcMar>
              <w:top w:w="100" w:type="dxa"/>
              <w:left w:w="150" w:type="dxa"/>
              <w:bottom w:w="100" w:type="dxa"/>
              <w:right w:w="150" w:type="dxa"/>
            </w:tcMar>
            <w:vAlign w:val="center"/>
          </w:tcPr>
          <w:p w14:paraId="02B9E19C"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b/>
                <w:bCs/>
                <w:color w:val="1F3A5F"/>
                <w:sz w:val="20"/>
                <w:szCs w:val="20"/>
              </w:rPr>
              <w:t>Submission Date</w:t>
            </w:r>
          </w:p>
        </w:tc>
        <w:tc>
          <w:tcPr>
            <w:tcW w:w="4831" w:type="dxa"/>
            <w:tcMar>
              <w:top w:w="100" w:type="dxa"/>
              <w:left w:w="150" w:type="dxa"/>
              <w:bottom w:w="100" w:type="dxa"/>
              <w:right w:w="150" w:type="dxa"/>
            </w:tcMar>
            <w:vAlign w:val="center"/>
          </w:tcPr>
          <w:p w14:paraId="3010C622"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sz w:val="20"/>
                <w:szCs w:val="20"/>
              </w:rPr>
              <w:t>27 July 2026</w:t>
            </w:r>
          </w:p>
        </w:tc>
      </w:tr>
    </w:tbl>
    <w:p w14:paraId="745D1AC8"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rPr>
        <w:br w:type="page"/>
      </w:r>
    </w:p>
    <w:p w14:paraId="32D96BD5" w14:textId="77777777" w:rsidR="00150229" w:rsidRPr="00E928EE" w:rsidRDefault="00000000" w:rsidP="00E928EE">
      <w:pPr>
        <w:pStyle w:val="Heading1"/>
        <w:spacing w:after="200" w:line="276" w:lineRule="auto"/>
        <w:jc w:val="both"/>
        <w:rPr>
          <w:rFonts w:ascii="Times New Roman" w:hAnsi="Times New Roman" w:cs="Times New Roman"/>
        </w:rPr>
      </w:pPr>
      <w:bookmarkStart w:id="0" w:name="_Toc236081841"/>
      <w:r w:rsidRPr="00E928EE">
        <w:rPr>
          <w:rFonts w:ascii="Times New Roman" w:hAnsi="Times New Roman" w:cs="Times New Roman"/>
          <w:color w:val="1F3A5F"/>
        </w:rPr>
        <w:lastRenderedPageBreak/>
        <w:t>Table of Contents</w:t>
      </w:r>
      <w:bookmarkEnd w:id="0"/>
    </w:p>
    <w:sdt>
      <w:sdtPr>
        <w:rPr>
          <w:rFonts w:ascii="Times New Roman" w:hAnsi="Times New Roman" w:cs="Times New Roman"/>
        </w:rPr>
        <w:alias w:val="Table of Contents"/>
        <w:id w:val="-547306680"/>
      </w:sdtPr>
      <w:sdtContent>
        <w:p w14:paraId="5A0AA9E9" w14:textId="79AF98D5" w:rsidR="00A31C27" w:rsidRPr="00E928EE" w:rsidRDefault="00000000" w:rsidP="00E928EE">
          <w:pPr>
            <w:pStyle w:val="TOC1"/>
            <w:tabs>
              <w:tab w:val="right" w:leader="dot" w:pos="9016"/>
            </w:tabs>
            <w:spacing w:line="276" w:lineRule="auto"/>
            <w:jc w:val="both"/>
            <w:rPr>
              <w:rFonts w:ascii="Times New Roman" w:hAnsi="Times New Roman" w:cs="Times New Roman"/>
              <w:noProof/>
            </w:rPr>
          </w:pPr>
          <w:r w:rsidRPr="00E928EE">
            <w:rPr>
              <w:rFonts w:ascii="Times New Roman" w:hAnsi="Times New Roman" w:cs="Times New Roman"/>
              <w:sz w:val="24"/>
              <w:szCs w:val="24"/>
            </w:rPr>
            <w:fldChar w:fldCharType="begin"/>
          </w:r>
          <w:r w:rsidRPr="00E928EE">
            <w:rPr>
              <w:rFonts w:ascii="Times New Roman" w:hAnsi="Times New Roman" w:cs="Times New Roman"/>
              <w:sz w:val="24"/>
              <w:szCs w:val="24"/>
            </w:rPr>
            <w:instrText>TOC \h \o "1-3"</w:instrText>
          </w:r>
          <w:r w:rsidRPr="00E928EE">
            <w:rPr>
              <w:rFonts w:ascii="Times New Roman" w:hAnsi="Times New Roman" w:cs="Times New Roman"/>
              <w:sz w:val="24"/>
              <w:szCs w:val="24"/>
            </w:rPr>
            <w:fldChar w:fldCharType="separate"/>
          </w:r>
          <w:hyperlink w:anchor="_Toc236081841" w:history="1">
            <w:r w:rsidR="00A31C27" w:rsidRPr="00E928EE">
              <w:rPr>
                <w:rStyle w:val="Hyperlink"/>
                <w:rFonts w:ascii="Times New Roman" w:hAnsi="Times New Roman" w:cs="Times New Roman"/>
                <w:noProof/>
                <w:sz w:val="24"/>
                <w:szCs w:val="24"/>
              </w:rPr>
              <w:t>Table</w:t>
            </w:r>
            <w:r w:rsidR="00A31C27" w:rsidRPr="00E928EE">
              <w:rPr>
                <w:rStyle w:val="Hyperlink"/>
                <w:rFonts w:ascii="Times New Roman" w:hAnsi="Times New Roman" w:cs="Times New Roman"/>
                <w:noProof/>
              </w:rPr>
              <w:t xml:space="preserve"> of Contents</w:t>
            </w:r>
            <w:r w:rsidR="00A31C27" w:rsidRPr="00E928EE">
              <w:rPr>
                <w:rFonts w:ascii="Times New Roman" w:hAnsi="Times New Roman" w:cs="Times New Roman"/>
                <w:noProof/>
              </w:rPr>
              <w:tab/>
            </w:r>
            <w:r w:rsidR="00E928EE" w:rsidRPr="00E928EE">
              <w:rPr>
                <w:rFonts w:ascii="Times New Roman" w:hAnsi="Times New Roman" w:cs="Times New Roman"/>
                <w:noProof/>
              </w:rPr>
              <w:t>2</w:t>
            </w:r>
          </w:hyperlink>
        </w:p>
        <w:p w14:paraId="6625402F" w14:textId="3BDFD7B4"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42" w:history="1">
            <w:r w:rsidRPr="00E928EE">
              <w:rPr>
                <w:rStyle w:val="Hyperlink"/>
                <w:rFonts w:ascii="Times New Roman" w:hAnsi="Times New Roman" w:cs="Times New Roman"/>
                <w:noProof/>
              </w:rPr>
              <w:t>1. Topic Proposal</w:t>
            </w:r>
            <w:r w:rsidRPr="00E928EE">
              <w:rPr>
                <w:rFonts w:ascii="Times New Roman" w:hAnsi="Times New Roman" w:cs="Times New Roman"/>
                <w:noProof/>
              </w:rPr>
              <w:tab/>
            </w:r>
            <w:r w:rsidR="00E928EE" w:rsidRPr="00E928EE">
              <w:rPr>
                <w:rFonts w:ascii="Times New Roman" w:hAnsi="Times New Roman" w:cs="Times New Roman"/>
                <w:noProof/>
              </w:rPr>
              <w:t>3</w:t>
            </w:r>
          </w:hyperlink>
        </w:p>
        <w:p w14:paraId="3E1C4489" w14:textId="0E9F4784"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43" w:history="1">
            <w:r w:rsidRPr="00E928EE">
              <w:rPr>
                <w:rStyle w:val="Hyperlink"/>
                <w:rFonts w:ascii="Times New Roman" w:hAnsi="Times New Roman" w:cs="Times New Roman"/>
                <w:noProof/>
              </w:rPr>
              <w:t>2. Research Questio</w:t>
            </w:r>
            <w:r w:rsidRPr="00E928EE">
              <w:rPr>
                <w:rStyle w:val="Hyperlink"/>
                <w:rFonts w:ascii="Times New Roman" w:hAnsi="Times New Roman" w:cs="Times New Roman"/>
                <w:noProof/>
              </w:rPr>
              <w:t>n</w:t>
            </w:r>
            <w:r w:rsidRPr="00E928EE">
              <w:rPr>
                <w:rFonts w:ascii="Times New Roman" w:hAnsi="Times New Roman" w:cs="Times New Roman"/>
                <w:noProof/>
              </w:rPr>
              <w:tab/>
            </w:r>
            <w:r w:rsidR="00E928EE" w:rsidRPr="00E928EE">
              <w:rPr>
                <w:rFonts w:ascii="Times New Roman" w:hAnsi="Times New Roman" w:cs="Times New Roman"/>
                <w:noProof/>
              </w:rPr>
              <w:t>3</w:t>
            </w:r>
          </w:hyperlink>
        </w:p>
        <w:p w14:paraId="5D7E001A" w14:textId="537A9D92"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44" w:history="1">
            <w:r w:rsidRPr="00E928EE">
              <w:rPr>
                <w:rStyle w:val="Hyperlink"/>
                <w:rFonts w:ascii="Times New Roman" w:hAnsi="Times New Roman" w:cs="Times New Roman"/>
                <w:noProof/>
              </w:rPr>
              <w:t>3. Rationale</w:t>
            </w:r>
            <w:r w:rsidRPr="00E928EE">
              <w:rPr>
                <w:rFonts w:ascii="Times New Roman" w:hAnsi="Times New Roman" w:cs="Times New Roman"/>
                <w:noProof/>
              </w:rPr>
              <w:tab/>
            </w:r>
            <w:r w:rsidR="00E928EE" w:rsidRPr="00E928EE">
              <w:rPr>
                <w:rFonts w:ascii="Times New Roman" w:hAnsi="Times New Roman" w:cs="Times New Roman"/>
                <w:noProof/>
              </w:rPr>
              <w:t>3</w:t>
            </w:r>
          </w:hyperlink>
        </w:p>
        <w:p w14:paraId="45D6D876" w14:textId="5608D8B5"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45" w:history="1">
            <w:r w:rsidRPr="00E928EE">
              <w:rPr>
                <w:rStyle w:val="Hyperlink"/>
                <w:rFonts w:ascii="Times New Roman" w:hAnsi="Times New Roman" w:cs="Times New Roman"/>
                <w:noProof/>
              </w:rPr>
              <w:t>4. Methods — Literature Search Approach</w:t>
            </w:r>
            <w:r w:rsidRPr="00E928EE">
              <w:rPr>
                <w:rFonts w:ascii="Times New Roman" w:hAnsi="Times New Roman" w:cs="Times New Roman"/>
                <w:noProof/>
              </w:rPr>
              <w:tab/>
            </w:r>
            <w:r w:rsidR="00E928EE" w:rsidRPr="00E928EE">
              <w:rPr>
                <w:rFonts w:ascii="Times New Roman" w:hAnsi="Times New Roman" w:cs="Times New Roman"/>
                <w:noProof/>
              </w:rPr>
              <w:t>3</w:t>
            </w:r>
          </w:hyperlink>
        </w:p>
        <w:p w14:paraId="5E3AF9BD" w14:textId="218A72A5"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46" w:history="1">
            <w:r w:rsidRPr="00E928EE">
              <w:rPr>
                <w:rStyle w:val="Hyperlink"/>
                <w:rFonts w:ascii="Times New Roman" w:hAnsi="Times New Roman" w:cs="Times New Roman"/>
                <w:noProof/>
              </w:rPr>
              <w:t>5. Results — Literature Summary</w:t>
            </w:r>
            <w:r w:rsidRPr="00E928EE">
              <w:rPr>
                <w:rFonts w:ascii="Times New Roman" w:hAnsi="Times New Roman" w:cs="Times New Roman"/>
                <w:noProof/>
              </w:rPr>
              <w:tab/>
            </w:r>
            <w:r w:rsidR="00ED1C3E">
              <w:rPr>
                <w:rFonts w:ascii="Times New Roman" w:hAnsi="Times New Roman" w:cs="Times New Roman"/>
                <w:noProof/>
              </w:rPr>
              <w:t>4</w:t>
            </w:r>
          </w:hyperlink>
        </w:p>
        <w:p w14:paraId="178B9D75" w14:textId="4DD9C495"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47" w:history="1">
            <w:r w:rsidRPr="00E928EE">
              <w:rPr>
                <w:rStyle w:val="Hyperlink"/>
                <w:rFonts w:ascii="Times New Roman" w:hAnsi="Times New Roman" w:cs="Times New Roman"/>
                <w:noProof/>
              </w:rPr>
              <w:t>6. Detailed Narrative Review Outline</w:t>
            </w:r>
            <w:r w:rsidRPr="00E928EE">
              <w:rPr>
                <w:rFonts w:ascii="Times New Roman" w:hAnsi="Times New Roman" w:cs="Times New Roman"/>
                <w:noProof/>
              </w:rPr>
              <w:tab/>
            </w:r>
            <w:r w:rsidR="00E928EE" w:rsidRPr="00E928EE">
              <w:rPr>
                <w:rFonts w:ascii="Times New Roman" w:hAnsi="Times New Roman" w:cs="Times New Roman"/>
                <w:noProof/>
              </w:rPr>
              <w:t>4</w:t>
            </w:r>
          </w:hyperlink>
        </w:p>
        <w:p w14:paraId="62244427" w14:textId="008577DF"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48" w:history="1">
            <w:r w:rsidRPr="00E928EE">
              <w:rPr>
                <w:rStyle w:val="Hyperlink"/>
                <w:rFonts w:ascii="Times New Roman" w:hAnsi="Times New Roman" w:cs="Times New Roman"/>
                <w:noProof/>
              </w:rPr>
              <w:t>6.1 Introduction</w:t>
            </w:r>
            <w:r w:rsidRPr="00E928EE">
              <w:rPr>
                <w:rFonts w:ascii="Times New Roman" w:hAnsi="Times New Roman" w:cs="Times New Roman"/>
                <w:noProof/>
              </w:rPr>
              <w:tab/>
            </w:r>
            <w:r w:rsidR="00336D3A">
              <w:rPr>
                <w:rFonts w:ascii="Times New Roman" w:hAnsi="Times New Roman" w:cs="Times New Roman"/>
                <w:noProof/>
              </w:rPr>
              <w:t>5</w:t>
            </w:r>
          </w:hyperlink>
        </w:p>
        <w:p w14:paraId="24578448" w14:textId="247E2939"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49" w:history="1">
            <w:r w:rsidRPr="00E928EE">
              <w:rPr>
                <w:rStyle w:val="Hyperlink"/>
                <w:rFonts w:ascii="Times New Roman" w:hAnsi="Times New Roman" w:cs="Times New Roman"/>
                <w:noProof/>
              </w:rPr>
              <w:t>6.2 Background</w:t>
            </w:r>
            <w:r w:rsidRPr="00E928EE">
              <w:rPr>
                <w:rFonts w:ascii="Times New Roman" w:hAnsi="Times New Roman" w:cs="Times New Roman"/>
                <w:noProof/>
              </w:rPr>
              <w:tab/>
            </w:r>
            <w:r w:rsidR="00336D3A">
              <w:rPr>
                <w:rFonts w:ascii="Times New Roman" w:hAnsi="Times New Roman" w:cs="Times New Roman"/>
                <w:noProof/>
              </w:rPr>
              <w:t>5</w:t>
            </w:r>
          </w:hyperlink>
        </w:p>
        <w:p w14:paraId="4C7A7826" w14:textId="22CED25E"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50" w:history="1">
            <w:r w:rsidRPr="00E928EE">
              <w:rPr>
                <w:rStyle w:val="Hyperlink"/>
                <w:rFonts w:ascii="Times New Roman" w:hAnsi="Times New Roman" w:cs="Times New Roman"/>
                <w:noProof/>
              </w:rPr>
              <w:t>6.3 Current Applications</w:t>
            </w:r>
            <w:r w:rsidRPr="00E928EE">
              <w:rPr>
                <w:rFonts w:ascii="Times New Roman" w:hAnsi="Times New Roman" w:cs="Times New Roman"/>
                <w:noProof/>
              </w:rPr>
              <w:tab/>
            </w:r>
            <w:r w:rsidR="00ED1C3E">
              <w:rPr>
                <w:rFonts w:ascii="Times New Roman" w:hAnsi="Times New Roman" w:cs="Times New Roman"/>
                <w:noProof/>
              </w:rPr>
              <w:t>5</w:t>
            </w:r>
          </w:hyperlink>
        </w:p>
        <w:p w14:paraId="11603A46" w14:textId="0F6CB167"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51" w:history="1">
            <w:r w:rsidRPr="00E928EE">
              <w:rPr>
                <w:rStyle w:val="Hyperlink"/>
                <w:rFonts w:ascii="Times New Roman" w:hAnsi="Times New Roman" w:cs="Times New Roman"/>
                <w:noProof/>
              </w:rPr>
              <w:t>6.4 Benefits</w:t>
            </w:r>
            <w:r w:rsidRPr="00E928EE">
              <w:rPr>
                <w:rFonts w:ascii="Times New Roman" w:hAnsi="Times New Roman" w:cs="Times New Roman"/>
                <w:noProof/>
              </w:rPr>
              <w:tab/>
            </w:r>
            <w:r w:rsidR="00336D3A">
              <w:rPr>
                <w:rFonts w:ascii="Times New Roman" w:hAnsi="Times New Roman" w:cs="Times New Roman"/>
                <w:noProof/>
              </w:rPr>
              <w:t>6</w:t>
            </w:r>
          </w:hyperlink>
        </w:p>
        <w:p w14:paraId="33A85B8F" w14:textId="0DF1495A"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52" w:history="1">
            <w:r w:rsidRPr="00E928EE">
              <w:rPr>
                <w:rStyle w:val="Hyperlink"/>
                <w:rFonts w:ascii="Times New Roman" w:hAnsi="Times New Roman" w:cs="Times New Roman"/>
                <w:noProof/>
              </w:rPr>
              <w:t>6.5 Challenges</w:t>
            </w:r>
            <w:r w:rsidRPr="00E928EE">
              <w:rPr>
                <w:rFonts w:ascii="Times New Roman" w:hAnsi="Times New Roman" w:cs="Times New Roman"/>
                <w:noProof/>
              </w:rPr>
              <w:tab/>
            </w:r>
            <w:r w:rsidR="00336D3A">
              <w:rPr>
                <w:rFonts w:ascii="Times New Roman" w:hAnsi="Times New Roman" w:cs="Times New Roman"/>
                <w:noProof/>
              </w:rPr>
              <w:t>6</w:t>
            </w:r>
          </w:hyperlink>
        </w:p>
        <w:p w14:paraId="5CCD4567" w14:textId="61EBD7B7"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53" w:history="1">
            <w:r w:rsidRPr="00E928EE">
              <w:rPr>
                <w:rStyle w:val="Hyperlink"/>
                <w:rFonts w:ascii="Times New Roman" w:hAnsi="Times New Roman" w:cs="Times New Roman"/>
                <w:noProof/>
              </w:rPr>
              <w:t>6.6 Discussion</w:t>
            </w:r>
            <w:r w:rsidRPr="00E928EE">
              <w:rPr>
                <w:rFonts w:ascii="Times New Roman" w:hAnsi="Times New Roman" w:cs="Times New Roman"/>
                <w:noProof/>
              </w:rPr>
              <w:tab/>
            </w:r>
            <w:r w:rsidR="00336D3A">
              <w:rPr>
                <w:rFonts w:ascii="Times New Roman" w:hAnsi="Times New Roman" w:cs="Times New Roman"/>
                <w:noProof/>
              </w:rPr>
              <w:t>7</w:t>
            </w:r>
          </w:hyperlink>
        </w:p>
        <w:p w14:paraId="49EC730F" w14:textId="60D960D9"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54" w:history="1">
            <w:r w:rsidRPr="00E928EE">
              <w:rPr>
                <w:rStyle w:val="Hyperlink"/>
                <w:rFonts w:ascii="Times New Roman" w:hAnsi="Times New Roman" w:cs="Times New Roman"/>
                <w:noProof/>
              </w:rPr>
              <w:t>6.7 Future Directions</w:t>
            </w:r>
            <w:r w:rsidRPr="00E928EE">
              <w:rPr>
                <w:rFonts w:ascii="Times New Roman" w:hAnsi="Times New Roman" w:cs="Times New Roman"/>
                <w:noProof/>
              </w:rPr>
              <w:tab/>
            </w:r>
            <w:r w:rsidR="00336D3A">
              <w:rPr>
                <w:rFonts w:ascii="Times New Roman" w:hAnsi="Times New Roman" w:cs="Times New Roman"/>
                <w:noProof/>
              </w:rPr>
              <w:t>7</w:t>
            </w:r>
          </w:hyperlink>
        </w:p>
        <w:p w14:paraId="0F06DCD8" w14:textId="0D91D1FA" w:rsidR="00A31C27" w:rsidRPr="00E928EE" w:rsidRDefault="00A31C27" w:rsidP="00E928EE">
          <w:pPr>
            <w:pStyle w:val="TOC2"/>
            <w:tabs>
              <w:tab w:val="right" w:leader="dot" w:pos="9016"/>
            </w:tabs>
            <w:spacing w:line="276" w:lineRule="auto"/>
            <w:jc w:val="both"/>
            <w:rPr>
              <w:rFonts w:ascii="Times New Roman" w:hAnsi="Times New Roman" w:cs="Times New Roman"/>
              <w:noProof/>
            </w:rPr>
          </w:pPr>
          <w:hyperlink w:anchor="_Toc236081855" w:history="1">
            <w:r w:rsidRPr="00E928EE">
              <w:rPr>
                <w:rStyle w:val="Hyperlink"/>
                <w:rFonts w:ascii="Times New Roman" w:hAnsi="Times New Roman" w:cs="Times New Roman"/>
                <w:noProof/>
              </w:rPr>
              <w:t>6.8 Conclusion</w:t>
            </w:r>
            <w:r w:rsidRPr="00E928EE">
              <w:rPr>
                <w:rFonts w:ascii="Times New Roman" w:hAnsi="Times New Roman" w:cs="Times New Roman"/>
                <w:noProof/>
              </w:rPr>
              <w:tab/>
            </w:r>
            <w:r w:rsidR="00336D3A">
              <w:rPr>
                <w:rFonts w:ascii="Times New Roman" w:hAnsi="Times New Roman" w:cs="Times New Roman"/>
                <w:noProof/>
              </w:rPr>
              <w:t>8</w:t>
            </w:r>
          </w:hyperlink>
        </w:p>
        <w:p w14:paraId="15530E82" w14:textId="2E265B76"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56" w:history="1">
            <w:r w:rsidRPr="00E928EE">
              <w:rPr>
                <w:rStyle w:val="Hyperlink"/>
                <w:rFonts w:ascii="Times New Roman" w:hAnsi="Times New Roman" w:cs="Times New Roman"/>
                <w:noProof/>
              </w:rPr>
              <w:t>7. Supplementary Data</w:t>
            </w:r>
            <w:r w:rsidRPr="00E928EE">
              <w:rPr>
                <w:rFonts w:ascii="Times New Roman" w:hAnsi="Times New Roman" w:cs="Times New Roman"/>
                <w:noProof/>
              </w:rPr>
              <w:tab/>
            </w:r>
            <w:r w:rsidR="00336D3A">
              <w:rPr>
                <w:rFonts w:ascii="Times New Roman" w:hAnsi="Times New Roman" w:cs="Times New Roman"/>
                <w:noProof/>
              </w:rPr>
              <w:t>9</w:t>
            </w:r>
          </w:hyperlink>
        </w:p>
        <w:p w14:paraId="2E604202" w14:textId="6DF880BA"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57" w:history="1">
            <w:r w:rsidRPr="00E928EE">
              <w:rPr>
                <w:rStyle w:val="Hyperlink"/>
                <w:rFonts w:ascii="Times New Roman" w:hAnsi="Times New Roman" w:cs="Times New Roman"/>
                <w:noProof/>
              </w:rPr>
              <w:t>8. References (APA 7th Edition)</w:t>
            </w:r>
            <w:r w:rsidRPr="00E928EE">
              <w:rPr>
                <w:rFonts w:ascii="Times New Roman" w:hAnsi="Times New Roman" w:cs="Times New Roman"/>
                <w:noProof/>
              </w:rPr>
              <w:tab/>
            </w:r>
            <w:r w:rsidR="00336D3A">
              <w:rPr>
                <w:rFonts w:ascii="Times New Roman" w:hAnsi="Times New Roman" w:cs="Times New Roman"/>
                <w:noProof/>
              </w:rPr>
              <w:t>9</w:t>
            </w:r>
          </w:hyperlink>
        </w:p>
        <w:p w14:paraId="3DD103B8" w14:textId="57E26A4D" w:rsidR="00A31C27" w:rsidRPr="00E928EE" w:rsidRDefault="00A31C27" w:rsidP="00E928EE">
          <w:pPr>
            <w:pStyle w:val="TOC1"/>
            <w:tabs>
              <w:tab w:val="right" w:leader="dot" w:pos="9016"/>
            </w:tabs>
            <w:spacing w:line="276" w:lineRule="auto"/>
            <w:jc w:val="both"/>
            <w:rPr>
              <w:rFonts w:ascii="Times New Roman" w:hAnsi="Times New Roman" w:cs="Times New Roman"/>
              <w:noProof/>
            </w:rPr>
          </w:pPr>
          <w:hyperlink w:anchor="_Toc236081858" w:history="1">
            <w:r w:rsidRPr="00E928EE">
              <w:rPr>
                <w:rStyle w:val="Hyperlink"/>
                <w:rFonts w:ascii="Times New Roman" w:hAnsi="Times New Roman" w:cs="Times New Roman"/>
                <w:noProof/>
              </w:rPr>
              <w:t>9. Note on Sourcing and Originality</w:t>
            </w:r>
            <w:r w:rsidRPr="00E928EE">
              <w:rPr>
                <w:rFonts w:ascii="Times New Roman" w:hAnsi="Times New Roman" w:cs="Times New Roman"/>
                <w:noProof/>
              </w:rPr>
              <w:tab/>
            </w:r>
            <w:r w:rsidR="00336D3A">
              <w:rPr>
                <w:rFonts w:ascii="Times New Roman" w:hAnsi="Times New Roman" w:cs="Times New Roman"/>
                <w:noProof/>
              </w:rPr>
              <w:t>9</w:t>
            </w:r>
          </w:hyperlink>
        </w:p>
        <w:p w14:paraId="16887E24"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rPr>
            <w:fldChar w:fldCharType="end"/>
          </w:r>
        </w:p>
      </w:sdtContent>
    </w:sdt>
    <w:p w14:paraId="0D5BEBD2" w14:textId="77777777" w:rsidR="00150229" w:rsidRPr="00E928EE" w:rsidRDefault="00000000" w:rsidP="00E928EE">
      <w:pPr>
        <w:spacing w:line="276" w:lineRule="auto"/>
        <w:jc w:val="both"/>
        <w:rPr>
          <w:rFonts w:ascii="Times New Roman" w:hAnsi="Times New Roman" w:cs="Times New Roman"/>
        </w:rPr>
      </w:pPr>
      <w:r w:rsidRPr="00E928EE">
        <w:rPr>
          <w:rFonts w:ascii="Times New Roman" w:hAnsi="Times New Roman" w:cs="Times New Roman"/>
        </w:rPr>
        <w:br w:type="page"/>
      </w:r>
    </w:p>
    <w:p w14:paraId="1A72885F" w14:textId="77777777" w:rsidR="00150229" w:rsidRPr="00E928EE" w:rsidRDefault="00000000" w:rsidP="00E928EE">
      <w:pPr>
        <w:pStyle w:val="Heading1"/>
        <w:spacing w:line="276" w:lineRule="auto"/>
        <w:jc w:val="both"/>
        <w:rPr>
          <w:rFonts w:ascii="Times New Roman" w:hAnsi="Times New Roman" w:cs="Times New Roman"/>
        </w:rPr>
      </w:pPr>
      <w:bookmarkStart w:id="1" w:name="_Toc236081842"/>
      <w:r w:rsidRPr="00E928EE">
        <w:rPr>
          <w:rFonts w:ascii="Times New Roman" w:hAnsi="Times New Roman" w:cs="Times New Roman"/>
          <w:color w:val="1F3A5F"/>
        </w:rPr>
        <w:lastRenderedPageBreak/>
        <w:t>1. Topic Proposal</w:t>
      </w:r>
      <w:bookmarkEnd w:id="1"/>
    </w:p>
    <w:p w14:paraId="36E65704"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Artificial intelligence (AI) is increasingly used to support patient education and healthcare communication through conversational chatbots, large language models (LLMs), translation tools, tailored education platforms, and clinical decision-support interfaces. Recent peer-reviewed reviews suggest that these tools may improve accessibility, personalization, health literacy, and communication efficiency, while also raising concerns about accuracy, algorithmic bias, privacy, and ethical governance.</w:t>
      </w:r>
    </w:p>
    <w:p w14:paraId="3DA4F844"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This narrative review critically synthesizes current peer-reviewed evidence on the opportunities, limitations, and future directions of AI in patient-facing communication, and is relevant to both practising clinicians and the wider public who increasingly encounter AI-generated health information.</w:t>
      </w:r>
    </w:p>
    <w:p w14:paraId="7CD50AF0" w14:textId="77777777" w:rsidR="00150229" w:rsidRPr="00E928EE" w:rsidRDefault="00000000" w:rsidP="00E928EE">
      <w:pPr>
        <w:pStyle w:val="Heading1"/>
        <w:spacing w:line="276" w:lineRule="auto"/>
        <w:jc w:val="both"/>
        <w:rPr>
          <w:rFonts w:ascii="Times New Roman" w:hAnsi="Times New Roman" w:cs="Times New Roman"/>
        </w:rPr>
      </w:pPr>
      <w:bookmarkStart w:id="2" w:name="_Toc236081843"/>
      <w:r w:rsidRPr="00E928EE">
        <w:rPr>
          <w:rFonts w:ascii="Times New Roman" w:hAnsi="Times New Roman" w:cs="Times New Roman"/>
          <w:color w:val="1F3A5F"/>
        </w:rPr>
        <w:t>2. Research Question</w:t>
      </w:r>
      <w:bookmarkEnd w:id="2"/>
    </w:p>
    <w:p w14:paraId="141188E9" w14:textId="7CF3266D" w:rsidR="00150229" w:rsidRPr="00E928EE" w:rsidRDefault="00000000" w:rsidP="00E928EE">
      <w:pPr>
        <w:pBdr>
          <w:left w:val="single" w:sz="18" w:space="12" w:color="2E6F8E"/>
        </w:pBdr>
        <w:spacing w:after="200" w:line="276" w:lineRule="auto"/>
        <w:ind w:left="260"/>
        <w:jc w:val="both"/>
        <w:rPr>
          <w:rFonts w:ascii="Times New Roman" w:hAnsi="Times New Roman" w:cs="Times New Roman"/>
          <w:sz w:val="24"/>
          <w:szCs w:val="24"/>
        </w:rPr>
      </w:pPr>
      <w:r w:rsidRPr="00E928EE">
        <w:rPr>
          <w:rFonts w:ascii="Times New Roman" w:hAnsi="Times New Roman" w:cs="Times New Roman"/>
          <w:i/>
          <w:iCs/>
          <w:sz w:val="24"/>
          <w:szCs w:val="24"/>
        </w:rPr>
        <w:t>What is the current evidence on the use of artificial intelligence in patient education and healthcare communication, and what opportunities, challenges, ethical considerations, and</w:t>
      </w:r>
      <w:r w:rsidR="00E928EE">
        <w:rPr>
          <w:rFonts w:ascii="Times New Roman" w:hAnsi="Times New Roman" w:cs="Times New Roman"/>
          <w:i/>
          <w:iCs/>
          <w:sz w:val="24"/>
          <w:szCs w:val="24"/>
        </w:rPr>
        <w:t xml:space="preserve"> </w:t>
      </w:r>
      <w:r w:rsidRPr="00E928EE">
        <w:rPr>
          <w:rFonts w:ascii="Times New Roman" w:hAnsi="Times New Roman" w:cs="Times New Roman"/>
          <w:i/>
          <w:iCs/>
          <w:sz w:val="24"/>
          <w:szCs w:val="24"/>
        </w:rPr>
        <w:t>future directions emerge from the existing literature?</w:t>
      </w:r>
    </w:p>
    <w:p w14:paraId="7FBDFF86" w14:textId="77777777" w:rsidR="00150229" w:rsidRPr="00E928EE" w:rsidRDefault="00000000" w:rsidP="00E928EE">
      <w:pPr>
        <w:pStyle w:val="Heading1"/>
        <w:spacing w:line="276" w:lineRule="auto"/>
        <w:jc w:val="both"/>
        <w:rPr>
          <w:rFonts w:ascii="Times New Roman" w:hAnsi="Times New Roman" w:cs="Times New Roman"/>
        </w:rPr>
      </w:pPr>
      <w:bookmarkStart w:id="3" w:name="_Toc236081844"/>
      <w:r w:rsidRPr="00E928EE">
        <w:rPr>
          <w:rFonts w:ascii="Times New Roman" w:hAnsi="Times New Roman" w:cs="Times New Roman"/>
          <w:color w:val="1F3A5F"/>
        </w:rPr>
        <w:t>3. Rationale</w:t>
      </w:r>
      <w:bookmarkEnd w:id="3"/>
    </w:p>
    <w:p w14:paraId="3700B051"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Patient education and healthcare communication are central to informed decision-making, treatment adherence, and patient engagement. However, communication gaps, language barriers, limited consultation time, and variable health literacy continue to affect care quality.</w:t>
      </w:r>
    </w:p>
    <w:p w14:paraId="3078D7FD"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Recent literature indicates that AI, particularly generative AI and large language models, can translate complex clinical information into patient-friendly language, generate educational materials, and support more responsive communication, although reliability and governance remain significant concerns. This topic is timely because international and national regulatory bodies, including the World Health Organization (WHO), the U.S. Food and Drug Administration (FDA), and the Indian Council of Medical Research (ICMR), have each issued guidance emphasizing oversight, transparency, and human-centered deployment of AI in healthcare within the last five years.</w:t>
      </w:r>
    </w:p>
    <w:p w14:paraId="2702C01B" w14:textId="77777777" w:rsidR="00150229" w:rsidRPr="00E928EE" w:rsidRDefault="00000000" w:rsidP="00E928EE">
      <w:pPr>
        <w:pStyle w:val="Heading1"/>
        <w:spacing w:line="276" w:lineRule="auto"/>
        <w:jc w:val="both"/>
        <w:rPr>
          <w:rFonts w:ascii="Times New Roman" w:hAnsi="Times New Roman" w:cs="Times New Roman"/>
        </w:rPr>
      </w:pPr>
      <w:bookmarkStart w:id="4" w:name="_Toc236081845"/>
      <w:r w:rsidRPr="00E928EE">
        <w:rPr>
          <w:rFonts w:ascii="Times New Roman" w:hAnsi="Times New Roman" w:cs="Times New Roman"/>
          <w:color w:val="1F3A5F"/>
        </w:rPr>
        <w:t>4. Methods — Literature Search Approach</w:t>
      </w:r>
      <w:bookmarkEnd w:id="4"/>
    </w:p>
    <w:p w14:paraId="2F909251"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As a narrative review rather than a systematic review, this article does not require a registered protocol; however, a structured search approach was used to maintain rigor.</w:t>
      </w:r>
    </w:p>
    <w:p w14:paraId="584A0457"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Literature was identified through PubMed, Frontiers in Medicine, JMIR, Cureus, and the official publication repositories of WHO, ICMR, and the FDA, using combinations of the terms “artificial intelligence”, “large language models”, “patient education”, “health communication”, “chatbot”, and “health literacy”.</w:t>
      </w:r>
    </w:p>
    <w:p w14:paraId="2A95726C" w14:textId="77777777" w:rsidR="00150229" w:rsidRDefault="00000000" w:rsidP="00E928EE">
      <w:pPr>
        <w:spacing w:after="160" w:line="276" w:lineRule="auto"/>
        <w:jc w:val="both"/>
        <w:rPr>
          <w:rFonts w:ascii="Times New Roman" w:hAnsi="Times New Roman" w:cs="Times New Roman"/>
          <w:color w:val="222222"/>
          <w:sz w:val="24"/>
          <w:szCs w:val="24"/>
        </w:rPr>
      </w:pPr>
      <w:r w:rsidRPr="00E928EE">
        <w:rPr>
          <w:rFonts w:ascii="Times New Roman" w:hAnsi="Times New Roman" w:cs="Times New Roman"/>
          <w:color w:val="222222"/>
          <w:sz w:val="24"/>
          <w:szCs w:val="24"/>
        </w:rPr>
        <w:t>Only peer-reviewed articles, and guidance documents issued directly by recognized health authorities, were included. Blogs, vendor marketing material, and non-peer-reviewed sources were excluded to preserve the academic rigor of the review.</w:t>
      </w:r>
    </w:p>
    <w:p w14:paraId="4811D9AA" w14:textId="77777777" w:rsidR="00E928EE" w:rsidRPr="00E928EE" w:rsidRDefault="00E928EE" w:rsidP="00E928EE">
      <w:pPr>
        <w:spacing w:after="160" w:line="276" w:lineRule="auto"/>
        <w:jc w:val="both"/>
        <w:rPr>
          <w:rFonts w:ascii="Times New Roman" w:hAnsi="Times New Roman" w:cs="Times New Roman"/>
          <w:sz w:val="24"/>
          <w:szCs w:val="24"/>
        </w:rPr>
      </w:pPr>
    </w:p>
    <w:p w14:paraId="42535387" w14:textId="77777777" w:rsidR="00150229" w:rsidRPr="00E928EE" w:rsidRDefault="00000000" w:rsidP="00E928EE">
      <w:pPr>
        <w:pStyle w:val="Heading1"/>
        <w:spacing w:line="276" w:lineRule="auto"/>
        <w:jc w:val="both"/>
        <w:rPr>
          <w:rFonts w:ascii="Times New Roman" w:hAnsi="Times New Roman" w:cs="Times New Roman"/>
        </w:rPr>
      </w:pPr>
      <w:bookmarkStart w:id="5" w:name="_Toc236081846"/>
      <w:r w:rsidRPr="00E928EE">
        <w:rPr>
          <w:rFonts w:ascii="Times New Roman" w:hAnsi="Times New Roman" w:cs="Times New Roman"/>
          <w:color w:val="1F3A5F"/>
        </w:rPr>
        <w:lastRenderedPageBreak/>
        <w:t>5. Results — Literature Summary</w:t>
      </w:r>
      <w:bookmarkEnd w:id="5"/>
    </w:p>
    <w:p w14:paraId="11B84806"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Recent literature shows a clear shift from general discussions of AI in healthcare toward more patient-centered applications. A 2024 scoping review of large language models in patient education, published in Frontiers in Medicine, screened the PubMed literature and identified 201 eligible studies, the majority (58.2%) originating from the United States.</w:t>
      </w:r>
    </w:p>
    <w:p w14:paraId="65AFC9D2"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The review described six recurring application themes: generating patient education materials, interpreting medical information for patients, providing lifestyle recommendations, supporting customized medication use, offering perioperative care instructions, and optimizing doctor-patient interaction. The authors reported that LLMs could provide largely accurate responses to patient queries and enhance existing educational materials, while also noting variability in output quality across studies.</w:t>
      </w:r>
    </w:p>
    <w:p w14:paraId="23DE6D9C"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 xml:space="preserve">A separate 2024 literature review published in </w:t>
      </w:r>
      <w:proofErr w:type="spellStart"/>
      <w:r w:rsidRPr="00E928EE">
        <w:rPr>
          <w:rFonts w:ascii="Times New Roman" w:hAnsi="Times New Roman" w:cs="Times New Roman"/>
          <w:color w:val="222222"/>
          <w:sz w:val="24"/>
          <w:szCs w:val="24"/>
        </w:rPr>
        <w:t>Cureus</w:t>
      </w:r>
      <w:proofErr w:type="spellEnd"/>
      <w:r w:rsidRPr="00E928EE">
        <w:rPr>
          <w:rFonts w:ascii="Times New Roman" w:hAnsi="Times New Roman" w:cs="Times New Roman"/>
          <w:color w:val="222222"/>
          <w:sz w:val="24"/>
          <w:szCs w:val="24"/>
        </w:rPr>
        <w:t xml:space="preserve"> examined AI's role in patient-physician communication specifically, concluding that AI tools can help bridge language barriers, summarize complex medical data, and generate responses that patients perceive as comprehensible and, in some study contexts, more empathetic than typical clinician responses. The same review cautioned that hallucinations, defined as plausible-sounding but factually incorrect outputs, remain an important and unresolved limitation of current systems, underscoring the need for human oversight in any patient-facing deployment.</w:t>
      </w:r>
    </w:p>
    <w:p w14:paraId="271FB7DD"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Regulatory and ethics literature complements these clinical findings. WHO's 2021 guidance on AI ethics in health, developed with an expert panel, set out six consensus principles for the responsible use of AI in healthcare; its January 2024 follow-up guidance addressed large multi-modal models specifically, given their rapid uptake in consumer and clinical settings.</w:t>
      </w:r>
    </w:p>
    <w:p w14:paraId="06DD69FD"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In India, the ICMR's March 2023 ethical guidelines address AI in biomedical research and healthcare directly, articulating principles such as patient autonomy, safety and risk minimization, and data confidentiality, and reflect ongoing efforts to align AI governance with India's Digital Personal Data Protection Act, 2023. In the United States, the FDA's January 2025 draft guidance on AI-enabled device software functions signals movement toward lifecycle-based regulatory oversight, extending beyond diagnostic devices toward broader AI-enabled health technology.</w:t>
      </w:r>
    </w:p>
    <w:p w14:paraId="7737B412" w14:textId="77777777" w:rsidR="00150229" w:rsidRPr="00E928EE" w:rsidRDefault="00000000" w:rsidP="00E928EE">
      <w:pPr>
        <w:spacing w:after="160" w:line="276" w:lineRule="auto"/>
        <w:jc w:val="both"/>
        <w:rPr>
          <w:rFonts w:ascii="Times New Roman" w:hAnsi="Times New Roman" w:cs="Times New Roman"/>
          <w:sz w:val="24"/>
          <w:szCs w:val="24"/>
        </w:rPr>
      </w:pPr>
      <w:r w:rsidRPr="00E928EE">
        <w:rPr>
          <w:rFonts w:ascii="Times New Roman" w:hAnsi="Times New Roman" w:cs="Times New Roman"/>
          <w:color w:val="222222"/>
          <w:sz w:val="24"/>
          <w:szCs w:val="24"/>
        </w:rPr>
        <w:t>Taken together, the literature supports a balanced narrative: AI shows measurable promise for patient education and communication, but safe, ethical use depends on validation, transparent governance, and context-specific implementation rather than unconditional adoption.</w:t>
      </w:r>
    </w:p>
    <w:p w14:paraId="2F041A57" w14:textId="77777777" w:rsidR="00150229" w:rsidRPr="00E928EE" w:rsidRDefault="00000000" w:rsidP="00E928EE">
      <w:pPr>
        <w:spacing w:before="200" w:line="276" w:lineRule="auto"/>
        <w:jc w:val="both"/>
        <w:rPr>
          <w:rFonts w:ascii="Times New Roman" w:hAnsi="Times New Roman" w:cs="Times New Roman"/>
          <w:sz w:val="24"/>
          <w:szCs w:val="24"/>
        </w:rPr>
      </w:pPr>
      <w:r w:rsidRPr="00E928EE">
        <w:rPr>
          <w:rFonts w:ascii="Times New Roman" w:hAnsi="Times New Roman" w:cs="Times New Roman"/>
          <w:noProof/>
          <w:sz w:val="24"/>
          <w:szCs w:val="24"/>
        </w:rPr>
        <w:lastRenderedPageBreak/>
        <w:drawing>
          <wp:inline distT="0" distB="0" distL="0" distR="0" wp14:anchorId="217FBCB8" wp14:editId="27F822EF">
            <wp:extent cx="5730240" cy="1905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0240" cy="1905000"/>
                    </a:xfrm>
                    <a:prstGeom prst="rect">
                      <a:avLst/>
                    </a:prstGeom>
                  </pic:spPr>
                </pic:pic>
              </a:graphicData>
            </a:graphic>
          </wp:inline>
        </w:drawing>
      </w:r>
    </w:p>
    <w:p w14:paraId="4B734290" w14:textId="77777777" w:rsidR="00150229" w:rsidRPr="00E928EE" w:rsidRDefault="00000000" w:rsidP="00E928EE">
      <w:pPr>
        <w:spacing w:before="80" w:after="260" w:line="276" w:lineRule="auto"/>
        <w:jc w:val="both"/>
        <w:rPr>
          <w:rFonts w:ascii="Times New Roman" w:hAnsi="Times New Roman" w:cs="Times New Roman"/>
          <w:sz w:val="24"/>
          <w:szCs w:val="24"/>
        </w:rPr>
      </w:pPr>
      <w:r w:rsidRPr="00E928EE">
        <w:rPr>
          <w:rFonts w:ascii="Times New Roman" w:hAnsi="Times New Roman" w:cs="Times New Roman"/>
          <w:i/>
          <w:iCs/>
          <w:color w:val="595959"/>
          <w:sz w:val="24"/>
          <w:szCs w:val="24"/>
        </w:rPr>
        <w:t>Figure 1. Timeline of major AI-in-health ethics and regulatory guidance, 2021–2025 (WHO, ICMR, FDA).</w:t>
      </w:r>
    </w:p>
    <w:p w14:paraId="52560D41" w14:textId="77777777" w:rsidR="00E928EE" w:rsidRPr="00E928EE" w:rsidRDefault="00E928EE" w:rsidP="00E928EE">
      <w:pPr>
        <w:pStyle w:val="Heading1"/>
        <w:spacing w:line="276" w:lineRule="auto"/>
        <w:jc w:val="both"/>
        <w:rPr>
          <w:rFonts w:ascii="Times New Roman" w:hAnsi="Times New Roman" w:cs="Times New Roman"/>
          <w:color w:val="1F3A5F"/>
        </w:rPr>
      </w:pPr>
      <w:bookmarkStart w:id="6" w:name="_Toc236081847"/>
    </w:p>
    <w:p w14:paraId="1FCD68AE" w14:textId="365768A3" w:rsidR="00150229" w:rsidRPr="00E928EE" w:rsidRDefault="00000000" w:rsidP="00E928EE">
      <w:pPr>
        <w:pStyle w:val="Heading1"/>
        <w:spacing w:line="276" w:lineRule="auto"/>
        <w:jc w:val="both"/>
        <w:rPr>
          <w:rFonts w:ascii="Times New Roman" w:hAnsi="Times New Roman" w:cs="Times New Roman"/>
        </w:rPr>
      </w:pPr>
      <w:r w:rsidRPr="00E928EE">
        <w:rPr>
          <w:rFonts w:ascii="Times New Roman" w:hAnsi="Times New Roman" w:cs="Times New Roman"/>
          <w:color w:val="1F3A5F"/>
        </w:rPr>
        <w:t>6. Detailed Narrative Review Outline</w:t>
      </w:r>
      <w:bookmarkEnd w:id="6"/>
    </w:p>
    <w:p w14:paraId="263590F0" w14:textId="77777777" w:rsidR="00150229" w:rsidRPr="00E928EE" w:rsidRDefault="00000000" w:rsidP="00E928EE">
      <w:pPr>
        <w:pStyle w:val="Heading2"/>
        <w:spacing w:line="276" w:lineRule="auto"/>
        <w:jc w:val="both"/>
        <w:rPr>
          <w:rFonts w:ascii="Times New Roman" w:hAnsi="Times New Roman" w:cs="Times New Roman"/>
          <w:sz w:val="24"/>
          <w:szCs w:val="24"/>
        </w:rPr>
      </w:pPr>
      <w:bookmarkStart w:id="7" w:name="_Toc236081848"/>
      <w:r w:rsidRPr="00E928EE">
        <w:rPr>
          <w:rFonts w:ascii="Times New Roman" w:hAnsi="Times New Roman" w:cs="Times New Roman"/>
          <w:color w:val="2E6F8E"/>
        </w:rPr>
        <w:t>6.</w:t>
      </w:r>
      <w:r w:rsidRPr="00E928EE">
        <w:rPr>
          <w:rFonts w:ascii="Times New Roman" w:hAnsi="Times New Roman" w:cs="Times New Roman"/>
          <w:color w:val="2E6F8E"/>
          <w:sz w:val="24"/>
          <w:szCs w:val="24"/>
        </w:rPr>
        <w:t>1 Introduction</w:t>
      </w:r>
      <w:bookmarkEnd w:id="7"/>
    </w:p>
    <w:p w14:paraId="700603BA"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Define AI in healthcare communication and patient education.</w:t>
      </w:r>
    </w:p>
    <w:p w14:paraId="31C9EDC8"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Explain why this topic matters in modern, increasingly digital healthcare delivery.</w:t>
      </w:r>
    </w:p>
    <w:p w14:paraId="2AB3EB32"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State the purpose, scope, and research question of the narrative review.</w:t>
      </w:r>
    </w:p>
    <w:p w14:paraId="5352B953" w14:textId="77777777" w:rsidR="00150229" w:rsidRPr="00ED1C3E" w:rsidRDefault="00000000" w:rsidP="00E928EE">
      <w:pPr>
        <w:pStyle w:val="Heading2"/>
        <w:spacing w:line="276" w:lineRule="auto"/>
        <w:jc w:val="both"/>
        <w:rPr>
          <w:rFonts w:ascii="Times New Roman" w:hAnsi="Times New Roman" w:cs="Times New Roman"/>
          <w:sz w:val="28"/>
          <w:szCs w:val="28"/>
        </w:rPr>
      </w:pPr>
      <w:bookmarkStart w:id="8" w:name="_Toc236081849"/>
      <w:r w:rsidRPr="00ED1C3E">
        <w:rPr>
          <w:rFonts w:ascii="Times New Roman" w:hAnsi="Times New Roman" w:cs="Times New Roman"/>
          <w:color w:val="2E6F8E"/>
          <w:sz w:val="24"/>
          <w:szCs w:val="24"/>
        </w:rPr>
        <w:t>6.2 Background</w:t>
      </w:r>
      <w:bookmarkEnd w:id="8"/>
    </w:p>
    <w:p w14:paraId="279C8F07"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Patient education as a core component of quality, patient-centered care.</w:t>
      </w:r>
    </w:p>
    <w:p w14:paraId="3C27CC45"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Healthcare communication and its role in adherence, shared decision-making, and outcomes.</w:t>
      </w:r>
    </w:p>
    <w:p w14:paraId="5DD44CE7"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Evolution of AI in healthcare, from rule-based clinical decision systems to generative AI and large language models.</w:t>
      </w:r>
    </w:p>
    <w:p w14:paraId="349731F4" w14:textId="77777777" w:rsidR="00150229" w:rsidRPr="00ED1C3E" w:rsidRDefault="00000000" w:rsidP="00E928EE">
      <w:pPr>
        <w:pStyle w:val="Heading2"/>
        <w:rPr>
          <w:rFonts w:ascii="Times New Roman" w:hAnsi="Times New Roman" w:cs="Times New Roman"/>
          <w:sz w:val="24"/>
          <w:szCs w:val="24"/>
        </w:rPr>
      </w:pPr>
      <w:bookmarkStart w:id="9" w:name="_Toc236081850"/>
      <w:r w:rsidRPr="00ED1C3E">
        <w:rPr>
          <w:rFonts w:ascii="Times New Roman" w:hAnsi="Times New Roman" w:cs="Times New Roman"/>
          <w:sz w:val="24"/>
          <w:szCs w:val="24"/>
        </w:rPr>
        <w:t>6.3 Current Applications</w:t>
      </w:r>
      <w:bookmarkEnd w:id="9"/>
    </w:p>
    <w:p w14:paraId="27643708"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AI chatbots for patient queries and triage support.</w:t>
      </w:r>
    </w:p>
    <w:p w14:paraId="4A9FFC22"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Patient education platforms that simplify and personalize medical information.</w:t>
      </w:r>
    </w:p>
    <w:p w14:paraId="7698701A"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Clinical decision support tools that indirectly shape patient communication.</w:t>
      </w:r>
    </w:p>
    <w:p w14:paraId="511187C9"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Multilingual communication and machine translation support.</w:t>
      </w:r>
    </w:p>
    <w:p w14:paraId="28930B0E"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Medication counseling and adherence support tools.</w:t>
      </w:r>
    </w:p>
    <w:p w14:paraId="2C1BD42E"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928EE">
        <w:rPr>
          <w:rFonts w:ascii="Times New Roman" w:hAnsi="Times New Roman" w:cs="Times New Roman"/>
          <w:sz w:val="24"/>
          <w:szCs w:val="24"/>
        </w:rPr>
        <w:t>Health literacy tools and personalized educational content generation.</w:t>
      </w:r>
    </w:p>
    <w:p w14:paraId="42A7B61D" w14:textId="77777777" w:rsidR="00150229" w:rsidRPr="00ED1C3E" w:rsidRDefault="00000000" w:rsidP="00E928EE">
      <w:pPr>
        <w:spacing w:before="200" w:line="276" w:lineRule="auto"/>
        <w:jc w:val="both"/>
        <w:rPr>
          <w:rFonts w:ascii="Times New Roman" w:hAnsi="Times New Roman" w:cs="Times New Roman"/>
          <w:sz w:val="28"/>
          <w:szCs w:val="28"/>
        </w:rPr>
      </w:pPr>
      <w:r w:rsidRPr="00ED1C3E">
        <w:rPr>
          <w:rFonts w:ascii="Times New Roman" w:hAnsi="Times New Roman" w:cs="Times New Roman"/>
          <w:noProof/>
          <w:sz w:val="28"/>
          <w:szCs w:val="28"/>
        </w:rPr>
        <w:lastRenderedPageBreak/>
        <w:drawing>
          <wp:inline distT="0" distB="0" distL="0" distR="0" wp14:anchorId="57178D34" wp14:editId="03804313">
            <wp:extent cx="5760720" cy="3609975"/>
            <wp:effectExtent l="0" t="0" r="0" b="9525"/>
            <wp:docPr id="2122628007" name="Picture 212262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609975"/>
                    </a:xfrm>
                    <a:prstGeom prst="rect">
                      <a:avLst/>
                    </a:prstGeom>
                  </pic:spPr>
                </pic:pic>
              </a:graphicData>
            </a:graphic>
          </wp:inline>
        </w:drawing>
      </w:r>
    </w:p>
    <w:p w14:paraId="3702425D" w14:textId="77777777" w:rsidR="00150229" w:rsidRPr="00ED1C3E" w:rsidRDefault="00000000" w:rsidP="00E928EE">
      <w:pPr>
        <w:spacing w:before="80" w:after="260" w:line="276" w:lineRule="auto"/>
        <w:jc w:val="both"/>
        <w:rPr>
          <w:rFonts w:ascii="Times New Roman" w:hAnsi="Times New Roman" w:cs="Times New Roman"/>
          <w:sz w:val="28"/>
          <w:szCs w:val="28"/>
        </w:rPr>
      </w:pPr>
      <w:r w:rsidRPr="00ED1C3E">
        <w:rPr>
          <w:rFonts w:ascii="Times New Roman" w:hAnsi="Times New Roman" w:cs="Times New Roman"/>
          <w:i/>
          <w:iCs/>
          <w:color w:val="595959"/>
          <w:sz w:val="24"/>
          <w:szCs w:val="24"/>
        </w:rPr>
        <w:t>Figure 2. Current application domains of AI in patient education and healthcare communication, based on themes reported in Aydin et al. (2024) and Clay et al. (2024).</w:t>
      </w:r>
    </w:p>
    <w:p w14:paraId="6CB8BCBA" w14:textId="77777777" w:rsidR="00150229" w:rsidRPr="00E928EE" w:rsidRDefault="00000000" w:rsidP="00E928EE">
      <w:pPr>
        <w:pStyle w:val="Heading2"/>
        <w:spacing w:line="276" w:lineRule="auto"/>
        <w:jc w:val="both"/>
        <w:rPr>
          <w:rFonts w:ascii="Times New Roman" w:hAnsi="Times New Roman" w:cs="Times New Roman"/>
        </w:rPr>
      </w:pPr>
      <w:bookmarkStart w:id="10" w:name="_Toc236081851"/>
      <w:r w:rsidRPr="00E928EE">
        <w:rPr>
          <w:rFonts w:ascii="Times New Roman" w:hAnsi="Times New Roman" w:cs="Times New Roman"/>
          <w:color w:val="2E6F8E"/>
        </w:rPr>
        <w:t>6.4 Benefits</w:t>
      </w:r>
      <w:bookmarkEnd w:id="10"/>
    </w:p>
    <w:p w14:paraId="062D2EB3"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Improved health literacy through simplified, plain-language explanations.</w:t>
      </w:r>
    </w:p>
    <w:p w14:paraId="0E6537B6"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Greater accessibility for patients with language or literacy barriers.</w:t>
      </w:r>
    </w:p>
    <w:p w14:paraId="5C16FAD0"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Personalization of educational content to individual patient needs.</w:t>
      </w:r>
    </w:p>
    <w:p w14:paraId="78A0D227"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Workflow efficiency gains for clinicians and healthcare teams.</w:t>
      </w:r>
    </w:p>
    <w:p w14:paraId="4CAB2524"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Increased patient engagement and support for self-management.</w:t>
      </w:r>
    </w:p>
    <w:p w14:paraId="5CBCC366" w14:textId="77777777" w:rsidR="00150229" w:rsidRPr="00E928EE" w:rsidRDefault="00000000" w:rsidP="00E928EE">
      <w:pPr>
        <w:pStyle w:val="Heading2"/>
        <w:spacing w:line="276" w:lineRule="auto"/>
        <w:jc w:val="both"/>
        <w:rPr>
          <w:rFonts w:ascii="Times New Roman" w:hAnsi="Times New Roman" w:cs="Times New Roman"/>
        </w:rPr>
      </w:pPr>
      <w:bookmarkStart w:id="11" w:name="_Toc236081852"/>
      <w:r w:rsidRPr="00E928EE">
        <w:rPr>
          <w:rFonts w:ascii="Times New Roman" w:hAnsi="Times New Roman" w:cs="Times New Roman"/>
          <w:color w:val="2E6F8E"/>
        </w:rPr>
        <w:t>6.5 Challenges</w:t>
      </w:r>
      <w:bookmarkEnd w:id="11"/>
    </w:p>
    <w:p w14:paraId="50A0FA6B"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Inaccurate outputs and hallucinations in AI-generated content.</w:t>
      </w:r>
    </w:p>
    <w:p w14:paraId="4AB3B6F5"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Algorithmic bias and unequal performance across patient subgroups.</w:t>
      </w:r>
    </w:p>
    <w:p w14:paraId="6B7EB7E8"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Privacy, confidentiality, and data security risks.</w:t>
      </w:r>
    </w:p>
    <w:p w14:paraId="7762367D"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Limited explainability and transparency of model outputs.</w:t>
      </w:r>
    </w:p>
    <w:p w14:paraId="0DD15951"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Ethical concerns around patient autonomy and clinician overreliance.</w:t>
      </w:r>
    </w:p>
    <w:p w14:paraId="335C2E4D" w14:textId="77777777" w:rsidR="00150229" w:rsidRPr="00E928EE" w:rsidRDefault="00000000" w:rsidP="00E928EE">
      <w:pPr>
        <w:pStyle w:val="NormalPara"/>
        <w:numPr>
          <w:ilvl w:val="0"/>
          <w:numId w:val="1"/>
        </w:numPr>
        <w:spacing w:after="90" w:line="276" w:lineRule="auto"/>
        <w:jc w:val="both"/>
        <w:rPr>
          <w:rFonts w:ascii="Times New Roman" w:hAnsi="Times New Roman" w:cs="Times New Roman"/>
        </w:rPr>
      </w:pPr>
      <w:r w:rsidRPr="00ED1C3E">
        <w:rPr>
          <w:rFonts w:ascii="Times New Roman" w:hAnsi="Times New Roman" w:cs="Times New Roman"/>
          <w:sz w:val="24"/>
          <w:szCs w:val="24"/>
        </w:rPr>
        <w:t>Regulatory uncertainty and the evolving need for formal governance frameworks</w:t>
      </w:r>
      <w:r w:rsidRPr="00E928EE">
        <w:rPr>
          <w:rFonts w:ascii="Times New Roman" w:hAnsi="Times New Roman" w:cs="Times New Roman"/>
        </w:rPr>
        <w:t>.</w:t>
      </w:r>
    </w:p>
    <w:p w14:paraId="72690A73" w14:textId="77777777" w:rsidR="00150229" w:rsidRPr="00ED1C3E" w:rsidRDefault="00000000" w:rsidP="00E928EE">
      <w:pPr>
        <w:spacing w:before="200" w:line="276" w:lineRule="auto"/>
        <w:jc w:val="both"/>
        <w:rPr>
          <w:rFonts w:ascii="Times New Roman" w:hAnsi="Times New Roman" w:cs="Times New Roman"/>
          <w:sz w:val="28"/>
          <w:szCs w:val="28"/>
        </w:rPr>
      </w:pPr>
      <w:r w:rsidRPr="00ED1C3E">
        <w:rPr>
          <w:rFonts w:ascii="Times New Roman" w:hAnsi="Times New Roman" w:cs="Times New Roman"/>
          <w:noProof/>
          <w:sz w:val="28"/>
          <w:szCs w:val="28"/>
        </w:rPr>
        <w:lastRenderedPageBreak/>
        <w:drawing>
          <wp:inline distT="0" distB="0" distL="0" distR="0" wp14:anchorId="7B156F67" wp14:editId="39BF5D35">
            <wp:extent cx="5737860" cy="2716530"/>
            <wp:effectExtent l="0" t="0" r="0" b="7620"/>
            <wp:docPr id="1689552658" name="Picture 168955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49391" cy="2721989"/>
                    </a:xfrm>
                    <a:prstGeom prst="rect">
                      <a:avLst/>
                    </a:prstGeom>
                  </pic:spPr>
                </pic:pic>
              </a:graphicData>
            </a:graphic>
          </wp:inline>
        </w:drawing>
      </w:r>
    </w:p>
    <w:p w14:paraId="42C2CCBF" w14:textId="77777777" w:rsidR="00150229" w:rsidRDefault="00000000" w:rsidP="00E928EE">
      <w:pPr>
        <w:spacing w:before="80" w:after="260" w:line="276" w:lineRule="auto"/>
        <w:jc w:val="both"/>
        <w:rPr>
          <w:rFonts w:ascii="Times New Roman" w:hAnsi="Times New Roman" w:cs="Times New Roman"/>
          <w:i/>
          <w:iCs/>
          <w:color w:val="595959"/>
          <w:sz w:val="24"/>
          <w:szCs w:val="24"/>
        </w:rPr>
      </w:pPr>
      <w:r w:rsidRPr="00ED1C3E">
        <w:rPr>
          <w:rFonts w:ascii="Times New Roman" w:hAnsi="Times New Roman" w:cs="Times New Roman"/>
          <w:i/>
          <w:iCs/>
          <w:color w:val="595959"/>
          <w:sz w:val="24"/>
          <w:szCs w:val="24"/>
        </w:rPr>
        <w:t>Figure 3. Summary of benefits and challenges of AI in patient education and healthcare communication, synthesized from the reviewed literature.</w:t>
      </w:r>
    </w:p>
    <w:p w14:paraId="7E0E9108" w14:textId="77777777" w:rsidR="00336D3A" w:rsidRPr="00ED1C3E" w:rsidRDefault="00336D3A" w:rsidP="00E928EE">
      <w:pPr>
        <w:spacing w:before="80" w:after="260" w:line="276" w:lineRule="auto"/>
        <w:jc w:val="both"/>
        <w:rPr>
          <w:rFonts w:ascii="Times New Roman" w:hAnsi="Times New Roman" w:cs="Times New Roman"/>
          <w:sz w:val="28"/>
          <w:szCs w:val="28"/>
        </w:rPr>
      </w:pPr>
    </w:p>
    <w:p w14:paraId="463595AD" w14:textId="77777777" w:rsidR="00150229" w:rsidRPr="00E928EE" w:rsidRDefault="00000000" w:rsidP="00E928EE">
      <w:pPr>
        <w:pStyle w:val="Heading2"/>
        <w:spacing w:line="276" w:lineRule="auto"/>
        <w:jc w:val="both"/>
        <w:rPr>
          <w:rFonts w:ascii="Times New Roman" w:hAnsi="Times New Roman" w:cs="Times New Roman"/>
        </w:rPr>
      </w:pPr>
      <w:bookmarkStart w:id="12" w:name="_Toc236081853"/>
      <w:r w:rsidRPr="00E928EE">
        <w:rPr>
          <w:rFonts w:ascii="Times New Roman" w:hAnsi="Times New Roman" w:cs="Times New Roman"/>
          <w:color w:val="2E6F8E"/>
        </w:rPr>
        <w:t>6.6 Discussion</w:t>
      </w:r>
      <w:bookmarkEnd w:id="12"/>
    </w:p>
    <w:p w14:paraId="10BBE2F8" w14:textId="77777777" w:rsidR="00150229" w:rsidRPr="00ED1C3E" w:rsidRDefault="00000000" w:rsidP="00E928EE">
      <w:pPr>
        <w:spacing w:after="160" w:line="276" w:lineRule="auto"/>
        <w:jc w:val="both"/>
        <w:rPr>
          <w:rFonts w:ascii="Times New Roman" w:hAnsi="Times New Roman" w:cs="Times New Roman"/>
          <w:sz w:val="24"/>
          <w:szCs w:val="24"/>
        </w:rPr>
      </w:pPr>
      <w:r w:rsidRPr="00ED1C3E">
        <w:rPr>
          <w:rFonts w:ascii="Times New Roman" w:hAnsi="Times New Roman" w:cs="Times New Roman"/>
          <w:color w:val="222222"/>
          <w:sz w:val="24"/>
          <w:szCs w:val="24"/>
        </w:rPr>
        <w:t>The reviewed literature suggests that AI's value in patient education lies primarily in translation and simplification tasks, converting dense clinical language into a form patients can act on, rather than in autonomous clinical decision-making.</w:t>
      </w:r>
    </w:p>
    <w:p w14:paraId="12FF04C3" w14:textId="77777777" w:rsidR="00150229" w:rsidRPr="00ED1C3E" w:rsidRDefault="00000000" w:rsidP="00E928EE">
      <w:pPr>
        <w:spacing w:after="160" w:line="276" w:lineRule="auto"/>
        <w:jc w:val="both"/>
        <w:rPr>
          <w:rFonts w:ascii="Times New Roman" w:hAnsi="Times New Roman" w:cs="Times New Roman"/>
          <w:sz w:val="24"/>
          <w:szCs w:val="24"/>
        </w:rPr>
      </w:pPr>
      <w:r w:rsidRPr="00ED1C3E">
        <w:rPr>
          <w:rFonts w:ascii="Times New Roman" w:hAnsi="Times New Roman" w:cs="Times New Roman"/>
          <w:color w:val="222222"/>
          <w:sz w:val="24"/>
          <w:szCs w:val="24"/>
        </w:rPr>
        <w:t>This distinction matters for the discussion of risk: benefits are most consistently reported when AI functions in a supportive, human-supervised role, while the most serious concerns, including hallucinated content and biased outputs, arise in scenarios closer to unsupervised patient-facing deployment.</w:t>
      </w:r>
    </w:p>
    <w:p w14:paraId="5C6656F3" w14:textId="77777777" w:rsidR="00150229" w:rsidRPr="00ED1C3E" w:rsidRDefault="00000000" w:rsidP="00E928EE">
      <w:pPr>
        <w:spacing w:after="160" w:line="276" w:lineRule="auto"/>
        <w:jc w:val="both"/>
        <w:rPr>
          <w:rFonts w:ascii="Times New Roman" w:hAnsi="Times New Roman" w:cs="Times New Roman"/>
          <w:sz w:val="24"/>
          <w:szCs w:val="24"/>
        </w:rPr>
      </w:pPr>
      <w:r w:rsidRPr="00ED1C3E">
        <w:rPr>
          <w:rFonts w:ascii="Times New Roman" w:hAnsi="Times New Roman" w:cs="Times New Roman"/>
          <w:color w:val="222222"/>
          <w:sz w:val="24"/>
          <w:szCs w:val="24"/>
        </w:rPr>
        <w:t>The geographic concentration of the existing evidence base, with the majority of scoping review studies originating in the United States, also indicates a gap in evidence about how these tools perform in linguistically diverse, resource-constrained, or multilingual settings such as India.</w:t>
      </w:r>
    </w:p>
    <w:p w14:paraId="5D228543" w14:textId="77777777" w:rsidR="00150229" w:rsidRPr="00E928EE" w:rsidRDefault="00000000" w:rsidP="00E928EE">
      <w:pPr>
        <w:pStyle w:val="Heading2"/>
        <w:spacing w:line="276" w:lineRule="auto"/>
        <w:jc w:val="both"/>
        <w:rPr>
          <w:rFonts w:ascii="Times New Roman" w:hAnsi="Times New Roman" w:cs="Times New Roman"/>
        </w:rPr>
      </w:pPr>
      <w:bookmarkStart w:id="13" w:name="_Toc236081854"/>
      <w:r w:rsidRPr="00E928EE">
        <w:rPr>
          <w:rFonts w:ascii="Times New Roman" w:hAnsi="Times New Roman" w:cs="Times New Roman"/>
          <w:color w:val="2E6F8E"/>
        </w:rPr>
        <w:t>6.7 Future Directions</w:t>
      </w:r>
      <w:bookmarkEnd w:id="13"/>
    </w:p>
    <w:p w14:paraId="105F4524"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Development of safer and more reliable generative AI tools for clinical communication.</w:t>
      </w:r>
    </w:p>
    <w:p w14:paraId="31EC3BD6"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Personalized patient education using multimodal data (text, voice, and imaging).</w:t>
      </w:r>
    </w:p>
    <w:p w14:paraId="4EC05EB4"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Human-AI collaboration models rather than full replacement of clinicians.</w:t>
      </w:r>
    </w:p>
    <w:p w14:paraId="44FDF0B0"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Applications in pharmacy practice, medication counseling, and adherence support.</w:t>
      </w:r>
    </w:p>
    <w:p w14:paraId="5D076CD9"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Need for prospective studies and real-world implementation research, including in non-English-speaking populations.</w:t>
      </w:r>
    </w:p>
    <w:p w14:paraId="61B6E964" w14:textId="77777777" w:rsidR="00336D3A" w:rsidRDefault="00336D3A" w:rsidP="00E928EE">
      <w:pPr>
        <w:pStyle w:val="Heading2"/>
        <w:spacing w:line="276" w:lineRule="auto"/>
        <w:jc w:val="both"/>
        <w:rPr>
          <w:rFonts w:ascii="Times New Roman" w:hAnsi="Times New Roman" w:cs="Times New Roman"/>
          <w:color w:val="2E6F8E"/>
        </w:rPr>
      </w:pPr>
      <w:bookmarkStart w:id="14" w:name="_Toc236081855"/>
    </w:p>
    <w:p w14:paraId="3081A7B1" w14:textId="77777777" w:rsidR="00336D3A" w:rsidRDefault="00336D3A" w:rsidP="00E928EE">
      <w:pPr>
        <w:pStyle w:val="Heading2"/>
        <w:spacing w:line="276" w:lineRule="auto"/>
        <w:jc w:val="both"/>
        <w:rPr>
          <w:rFonts w:ascii="Times New Roman" w:hAnsi="Times New Roman" w:cs="Times New Roman"/>
          <w:color w:val="2E6F8E"/>
        </w:rPr>
      </w:pPr>
    </w:p>
    <w:p w14:paraId="32FFEC11" w14:textId="77777777" w:rsidR="00336D3A" w:rsidRDefault="00336D3A" w:rsidP="00E928EE">
      <w:pPr>
        <w:pStyle w:val="Heading2"/>
        <w:spacing w:line="276" w:lineRule="auto"/>
        <w:jc w:val="both"/>
        <w:rPr>
          <w:rFonts w:ascii="Times New Roman" w:hAnsi="Times New Roman" w:cs="Times New Roman"/>
          <w:color w:val="2E6F8E"/>
        </w:rPr>
      </w:pPr>
    </w:p>
    <w:p w14:paraId="4996BDE2" w14:textId="77777777" w:rsidR="00336D3A" w:rsidRDefault="00336D3A" w:rsidP="00E928EE">
      <w:pPr>
        <w:pStyle w:val="Heading2"/>
        <w:spacing w:line="276" w:lineRule="auto"/>
        <w:jc w:val="both"/>
        <w:rPr>
          <w:rFonts w:ascii="Times New Roman" w:hAnsi="Times New Roman" w:cs="Times New Roman"/>
          <w:color w:val="2E6F8E"/>
        </w:rPr>
      </w:pPr>
    </w:p>
    <w:p w14:paraId="00E7A3AB" w14:textId="1F102637" w:rsidR="00150229" w:rsidRPr="00E928EE" w:rsidRDefault="00000000" w:rsidP="00E928EE">
      <w:pPr>
        <w:pStyle w:val="Heading2"/>
        <w:spacing w:line="276" w:lineRule="auto"/>
        <w:jc w:val="both"/>
        <w:rPr>
          <w:rFonts w:ascii="Times New Roman" w:hAnsi="Times New Roman" w:cs="Times New Roman"/>
        </w:rPr>
      </w:pPr>
      <w:r w:rsidRPr="00E928EE">
        <w:rPr>
          <w:rFonts w:ascii="Times New Roman" w:hAnsi="Times New Roman" w:cs="Times New Roman"/>
          <w:color w:val="2E6F8E"/>
        </w:rPr>
        <w:t>6.8 Conclusion</w:t>
      </w:r>
      <w:bookmarkEnd w:id="14"/>
    </w:p>
    <w:p w14:paraId="517E7AA3"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Summarize the promise and limitations of AI in patient-facing communication.</w:t>
      </w:r>
    </w:p>
    <w:p w14:paraId="7C339CCC"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Emphasize the need for ethical, evidence-based, and human-centered integration.</w:t>
      </w:r>
    </w:p>
    <w:p w14:paraId="631344C1" w14:textId="77777777" w:rsidR="00150229" w:rsidRPr="00ED1C3E" w:rsidRDefault="00000000" w:rsidP="00E928EE">
      <w:pPr>
        <w:pStyle w:val="NormalPara"/>
        <w:numPr>
          <w:ilvl w:val="0"/>
          <w:numId w:val="1"/>
        </w:numPr>
        <w:spacing w:after="90" w:line="276" w:lineRule="auto"/>
        <w:jc w:val="both"/>
        <w:rPr>
          <w:rFonts w:ascii="Times New Roman" w:hAnsi="Times New Roman" w:cs="Times New Roman"/>
          <w:sz w:val="24"/>
          <w:szCs w:val="24"/>
        </w:rPr>
      </w:pPr>
      <w:r w:rsidRPr="00ED1C3E">
        <w:rPr>
          <w:rFonts w:ascii="Times New Roman" w:hAnsi="Times New Roman" w:cs="Times New Roman"/>
          <w:sz w:val="24"/>
          <w:szCs w:val="24"/>
        </w:rPr>
        <w:t>Highlight priorities for future research, particularly in linguistically diverse healthcare settings.</w:t>
      </w:r>
    </w:p>
    <w:p w14:paraId="754189AF" w14:textId="77777777" w:rsidR="00150229" w:rsidRPr="00E928EE" w:rsidRDefault="00000000" w:rsidP="00E928EE">
      <w:pPr>
        <w:pStyle w:val="Heading1"/>
        <w:spacing w:line="276" w:lineRule="auto"/>
        <w:jc w:val="both"/>
        <w:rPr>
          <w:rFonts w:ascii="Times New Roman" w:hAnsi="Times New Roman" w:cs="Times New Roman"/>
        </w:rPr>
      </w:pPr>
      <w:bookmarkStart w:id="15" w:name="_Toc236081856"/>
      <w:r w:rsidRPr="00E928EE">
        <w:rPr>
          <w:rFonts w:ascii="Times New Roman" w:hAnsi="Times New Roman" w:cs="Times New Roman"/>
          <w:color w:val="1F3A5F"/>
        </w:rPr>
        <w:t>7. Supplementary Data</w:t>
      </w:r>
      <w:bookmarkEnd w:id="15"/>
    </w:p>
    <w:p w14:paraId="6E4BFC27" w14:textId="77777777" w:rsidR="00150229" w:rsidRPr="00ED1C3E" w:rsidRDefault="00000000" w:rsidP="00E928EE">
      <w:pPr>
        <w:spacing w:before="200" w:line="276" w:lineRule="auto"/>
        <w:jc w:val="both"/>
        <w:rPr>
          <w:rFonts w:ascii="Times New Roman" w:hAnsi="Times New Roman" w:cs="Times New Roman"/>
          <w:sz w:val="28"/>
          <w:szCs w:val="28"/>
        </w:rPr>
      </w:pPr>
      <w:r w:rsidRPr="00ED1C3E">
        <w:rPr>
          <w:rFonts w:ascii="Times New Roman" w:hAnsi="Times New Roman" w:cs="Times New Roman"/>
          <w:noProof/>
          <w:sz w:val="28"/>
          <w:szCs w:val="28"/>
        </w:rPr>
        <w:drawing>
          <wp:inline distT="0" distB="0" distL="0" distR="0" wp14:anchorId="7302535E" wp14:editId="006BB2EB">
            <wp:extent cx="5684520" cy="2538730"/>
            <wp:effectExtent l="0" t="0" r="0" b="0"/>
            <wp:docPr id="1901716823" name="Picture 190171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00911" cy="2546050"/>
                    </a:xfrm>
                    <a:prstGeom prst="rect">
                      <a:avLst/>
                    </a:prstGeom>
                  </pic:spPr>
                </pic:pic>
              </a:graphicData>
            </a:graphic>
          </wp:inline>
        </w:drawing>
      </w:r>
    </w:p>
    <w:p w14:paraId="74154E7D" w14:textId="77777777" w:rsidR="00150229" w:rsidRPr="00ED1C3E" w:rsidRDefault="00000000" w:rsidP="00E928EE">
      <w:pPr>
        <w:spacing w:before="80" w:after="260" w:line="276" w:lineRule="auto"/>
        <w:jc w:val="both"/>
        <w:rPr>
          <w:rFonts w:ascii="Times New Roman" w:hAnsi="Times New Roman" w:cs="Times New Roman"/>
          <w:sz w:val="28"/>
          <w:szCs w:val="28"/>
        </w:rPr>
      </w:pPr>
      <w:r w:rsidRPr="00ED1C3E">
        <w:rPr>
          <w:rFonts w:ascii="Times New Roman" w:hAnsi="Times New Roman" w:cs="Times New Roman"/>
          <w:i/>
          <w:iCs/>
          <w:color w:val="595959"/>
          <w:sz w:val="24"/>
          <w:szCs w:val="24"/>
        </w:rPr>
        <w:t>Figure 4. Geographic origin of the 201 studies included in the Aydin et al. (2024) scoping review of large language models in patient education (PubMed-indexed, screened June 2024).</w:t>
      </w:r>
    </w:p>
    <w:p w14:paraId="70710805" w14:textId="77777777" w:rsidR="00150229" w:rsidRPr="00E928EE" w:rsidRDefault="00000000" w:rsidP="00E928EE">
      <w:pPr>
        <w:pStyle w:val="Heading1"/>
        <w:spacing w:line="276" w:lineRule="auto"/>
        <w:jc w:val="both"/>
        <w:rPr>
          <w:rFonts w:ascii="Times New Roman" w:hAnsi="Times New Roman" w:cs="Times New Roman"/>
        </w:rPr>
      </w:pPr>
      <w:bookmarkStart w:id="16" w:name="_Toc236081857"/>
      <w:r w:rsidRPr="00E928EE">
        <w:rPr>
          <w:rFonts w:ascii="Times New Roman" w:hAnsi="Times New Roman" w:cs="Times New Roman"/>
          <w:color w:val="1F3A5F"/>
        </w:rPr>
        <w:t>8. References (APA 7th Edition)</w:t>
      </w:r>
      <w:bookmarkEnd w:id="16"/>
    </w:p>
    <w:p w14:paraId="3B4D9656" w14:textId="5D2C3839" w:rsidR="00150229" w:rsidRPr="00ED1C3E" w:rsidRDefault="00000000" w:rsidP="00E928EE">
      <w:pPr>
        <w:spacing w:after="160" w:line="276" w:lineRule="auto"/>
        <w:ind w:left="360" w:hanging="360"/>
        <w:jc w:val="both"/>
        <w:rPr>
          <w:rFonts w:ascii="Times New Roman" w:hAnsi="Times New Roman" w:cs="Times New Roman"/>
          <w:sz w:val="28"/>
          <w:szCs w:val="28"/>
        </w:rPr>
      </w:pPr>
      <w:r w:rsidRPr="00ED1C3E">
        <w:rPr>
          <w:rFonts w:ascii="Times New Roman" w:hAnsi="Times New Roman" w:cs="Times New Roman"/>
          <w:sz w:val="24"/>
          <w:szCs w:val="24"/>
        </w:rPr>
        <w:t xml:space="preserve">Aydin, S., Karabacak, M., Vlachos, V., &amp; Margetis, K. (2024). Large language models in patient education: A scoping review of applications in medicine. Frontiers in Medicine, 11, 1477898. </w:t>
      </w:r>
      <w:hyperlink r:id="rId11" w:history="1">
        <w:r w:rsidRPr="00ED1C3E">
          <w:rPr>
            <w:rStyle w:val="Hyperlink"/>
            <w:rFonts w:ascii="Times New Roman" w:hAnsi="Times New Roman" w:cs="Times New Roman"/>
            <w:sz w:val="24"/>
            <w:szCs w:val="24"/>
          </w:rPr>
          <w:t>https://doi.org/10.3389/fmed.2024.1477898</w:t>
        </w:r>
      </w:hyperlink>
    </w:p>
    <w:p w14:paraId="2A8D3816" w14:textId="53D8B0C4" w:rsidR="00150229" w:rsidRPr="00ED1C3E" w:rsidRDefault="00000000" w:rsidP="00E928EE">
      <w:pPr>
        <w:spacing w:after="160" w:line="276" w:lineRule="auto"/>
        <w:ind w:left="360" w:hanging="360"/>
        <w:jc w:val="both"/>
        <w:rPr>
          <w:rFonts w:ascii="Times New Roman" w:hAnsi="Times New Roman" w:cs="Times New Roman"/>
          <w:sz w:val="28"/>
          <w:szCs w:val="28"/>
        </w:rPr>
      </w:pPr>
      <w:r w:rsidRPr="00ED1C3E">
        <w:rPr>
          <w:rFonts w:ascii="Times New Roman" w:hAnsi="Times New Roman" w:cs="Times New Roman"/>
          <w:sz w:val="24"/>
          <w:szCs w:val="24"/>
        </w:rPr>
        <w:t xml:space="preserve">Clay, T. J., Da Custodia Steel, Z. J., &amp; Jacobs, C. (2024). Human-computer interaction: A literature review of artificial intelligence and communication in healthcare. Cureus, 16(11), e73763. </w:t>
      </w:r>
      <w:hyperlink r:id="rId12" w:history="1">
        <w:r w:rsidRPr="00ED1C3E">
          <w:rPr>
            <w:rStyle w:val="Hyperlink"/>
            <w:rFonts w:ascii="Times New Roman" w:hAnsi="Times New Roman" w:cs="Times New Roman"/>
            <w:sz w:val="24"/>
            <w:szCs w:val="24"/>
          </w:rPr>
          <w:t>https://doi.org/10.7759/cureus.73763</w:t>
        </w:r>
      </w:hyperlink>
    </w:p>
    <w:p w14:paraId="06AD6B7A" w14:textId="1DE15325" w:rsidR="00150229" w:rsidRPr="00ED1C3E" w:rsidRDefault="00000000" w:rsidP="00E928EE">
      <w:pPr>
        <w:spacing w:after="160" w:line="276" w:lineRule="auto"/>
        <w:ind w:left="360" w:hanging="360"/>
        <w:jc w:val="both"/>
        <w:rPr>
          <w:rFonts w:ascii="Times New Roman" w:hAnsi="Times New Roman" w:cs="Times New Roman"/>
          <w:sz w:val="28"/>
          <w:szCs w:val="28"/>
        </w:rPr>
      </w:pPr>
      <w:r w:rsidRPr="00ED1C3E">
        <w:rPr>
          <w:rFonts w:ascii="Times New Roman" w:hAnsi="Times New Roman" w:cs="Times New Roman"/>
          <w:sz w:val="24"/>
          <w:szCs w:val="24"/>
        </w:rPr>
        <w:t xml:space="preserve">Indian Council of Medical Research. (2023). Ethical guidelines for application of artificial intelligence in biomedical research and healthcare. Department of Health Research, Government of India. </w:t>
      </w:r>
      <w:hyperlink r:id="rId13" w:history="1">
        <w:r w:rsidRPr="00ED1C3E">
          <w:rPr>
            <w:rStyle w:val="Hyperlink"/>
            <w:rFonts w:ascii="Times New Roman" w:hAnsi="Times New Roman" w:cs="Times New Roman"/>
            <w:sz w:val="24"/>
            <w:szCs w:val="24"/>
          </w:rPr>
          <w:t>https://www.icmr.gov.in/ethical-guidelines-for-application-of-artificial-intelligence-in-biomedical-research-and-healthcare</w:t>
        </w:r>
      </w:hyperlink>
    </w:p>
    <w:p w14:paraId="4600E5BC" w14:textId="230DE949" w:rsidR="00150229" w:rsidRPr="00ED1C3E" w:rsidRDefault="00000000" w:rsidP="00E928EE">
      <w:pPr>
        <w:spacing w:after="160" w:line="276" w:lineRule="auto"/>
        <w:ind w:left="360" w:hanging="360"/>
        <w:jc w:val="both"/>
        <w:rPr>
          <w:rFonts w:ascii="Times New Roman" w:hAnsi="Times New Roman" w:cs="Times New Roman"/>
          <w:sz w:val="28"/>
          <w:szCs w:val="28"/>
        </w:rPr>
      </w:pPr>
      <w:r w:rsidRPr="00ED1C3E">
        <w:rPr>
          <w:rFonts w:ascii="Times New Roman" w:hAnsi="Times New Roman" w:cs="Times New Roman"/>
          <w:sz w:val="24"/>
          <w:szCs w:val="24"/>
        </w:rPr>
        <w:t xml:space="preserve">U.S. Food and Drug Administration. (2025). Artificial intelligence-enabled device software functions: Lifecycle management and marketing submission recommendations (Draft guidance, Docket No. FDA-2024-D-4488). </w:t>
      </w:r>
      <w:hyperlink r:id="rId14" w:history="1">
        <w:r w:rsidRPr="00ED1C3E">
          <w:rPr>
            <w:rStyle w:val="Hyperlink"/>
            <w:rFonts w:ascii="Times New Roman" w:hAnsi="Times New Roman" w:cs="Times New Roman"/>
            <w:sz w:val="24"/>
            <w:szCs w:val="24"/>
          </w:rPr>
          <w:t>https://www.fda.gov/medical-devices/software-medical-device-samd/artificial-intelligence-software-medical-device</w:t>
        </w:r>
      </w:hyperlink>
    </w:p>
    <w:p w14:paraId="2B7A42E7" w14:textId="77777777" w:rsidR="00150229" w:rsidRPr="00ED1C3E" w:rsidRDefault="00000000" w:rsidP="00E928EE">
      <w:pPr>
        <w:spacing w:after="160" w:line="276" w:lineRule="auto"/>
        <w:ind w:left="360" w:hanging="360"/>
        <w:jc w:val="both"/>
        <w:rPr>
          <w:rFonts w:ascii="Times New Roman" w:hAnsi="Times New Roman" w:cs="Times New Roman"/>
          <w:sz w:val="28"/>
          <w:szCs w:val="28"/>
        </w:rPr>
      </w:pPr>
      <w:r w:rsidRPr="00ED1C3E">
        <w:rPr>
          <w:rFonts w:ascii="Times New Roman" w:hAnsi="Times New Roman" w:cs="Times New Roman"/>
          <w:sz w:val="24"/>
          <w:szCs w:val="24"/>
        </w:rPr>
        <w:lastRenderedPageBreak/>
        <w:t>World Health Organization. (2021). Ethics and governance of artificial intelligence for health. WHO.</w:t>
      </w:r>
    </w:p>
    <w:p w14:paraId="0C655716" w14:textId="629552C3" w:rsidR="00150229" w:rsidRPr="00ED1C3E" w:rsidRDefault="00000000" w:rsidP="00E928EE">
      <w:pPr>
        <w:spacing w:after="160" w:line="276" w:lineRule="auto"/>
        <w:ind w:left="360" w:hanging="360"/>
        <w:jc w:val="both"/>
        <w:rPr>
          <w:rFonts w:ascii="Times New Roman" w:hAnsi="Times New Roman" w:cs="Times New Roman"/>
          <w:sz w:val="28"/>
          <w:szCs w:val="28"/>
        </w:rPr>
      </w:pPr>
      <w:r w:rsidRPr="00ED1C3E">
        <w:rPr>
          <w:rFonts w:ascii="Times New Roman" w:hAnsi="Times New Roman" w:cs="Times New Roman"/>
          <w:sz w:val="24"/>
          <w:szCs w:val="24"/>
        </w:rPr>
        <w:t xml:space="preserve">World Health Organization. (2024). Ethics and governance of artificial intelligence for health: Guidance on large multi-modal models. WHO. </w:t>
      </w:r>
      <w:hyperlink r:id="rId15" w:history="1">
        <w:r w:rsidRPr="00ED1C3E">
          <w:rPr>
            <w:rStyle w:val="Hyperlink"/>
            <w:rFonts w:ascii="Times New Roman" w:hAnsi="Times New Roman" w:cs="Times New Roman"/>
            <w:sz w:val="24"/>
            <w:szCs w:val="24"/>
          </w:rPr>
          <w:t>https://www.who.int/publication</w:t>
        </w:r>
        <w:r w:rsidRPr="00ED1C3E">
          <w:rPr>
            <w:rStyle w:val="Hyperlink"/>
            <w:rFonts w:ascii="Times New Roman" w:hAnsi="Times New Roman" w:cs="Times New Roman"/>
            <w:sz w:val="24"/>
            <w:szCs w:val="24"/>
          </w:rPr>
          <w:t>s/b/70584</w:t>
        </w:r>
      </w:hyperlink>
    </w:p>
    <w:p w14:paraId="1821B84A" w14:textId="77777777" w:rsidR="00ED1C3E" w:rsidRDefault="00ED1C3E" w:rsidP="00E928EE">
      <w:pPr>
        <w:pStyle w:val="Heading1"/>
        <w:spacing w:line="276" w:lineRule="auto"/>
        <w:jc w:val="both"/>
        <w:rPr>
          <w:rFonts w:ascii="Times New Roman" w:hAnsi="Times New Roman" w:cs="Times New Roman"/>
          <w:color w:val="1F3A5F"/>
        </w:rPr>
      </w:pPr>
      <w:bookmarkStart w:id="17" w:name="_Toc236081858"/>
    </w:p>
    <w:p w14:paraId="26CA9F31" w14:textId="4EAB2E72" w:rsidR="00150229" w:rsidRPr="00E928EE" w:rsidRDefault="00000000" w:rsidP="00E928EE">
      <w:pPr>
        <w:pStyle w:val="Heading1"/>
        <w:spacing w:line="276" w:lineRule="auto"/>
        <w:jc w:val="both"/>
        <w:rPr>
          <w:rFonts w:ascii="Times New Roman" w:hAnsi="Times New Roman" w:cs="Times New Roman"/>
        </w:rPr>
      </w:pPr>
      <w:r w:rsidRPr="00E928EE">
        <w:rPr>
          <w:rFonts w:ascii="Times New Roman" w:hAnsi="Times New Roman" w:cs="Times New Roman"/>
          <w:color w:val="1F3A5F"/>
        </w:rPr>
        <w:t>9. Note on Sourcing and Originality</w:t>
      </w:r>
      <w:bookmarkEnd w:id="17"/>
    </w:p>
    <w:p w14:paraId="4649D71E" w14:textId="77777777" w:rsidR="00150229" w:rsidRPr="00ED1C3E" w:rsidRDefault="00000000" w:rsidP="00E928EE">
      <w:pPr>
        <w:spacing w:after="160" w:line="276" w:lineRule="auto"/>
        <w:jc w:val="both"/>
        <w:rPr>
          <w:rFonts w:ascii="Times New Roman" w:hAnsi="Times New Roman" w:cs="Times New Roman"/>
          <w:sz w:val="24"/>
          <w:szCs w:val="24"/>
        </w:rPr>
      </w:pPr>
      <w:r w:rsidRPr="00ED1C3E">
        <w:rPr>
          <w:rFonts w:ascii="Times New Roman" w:hAnsi="Times New Roman" w:cs="Times New Roman"/>
          <w:color w:val="222222"/>
          <w:sz w:val="24"/>
          <w:szCs w:val="24"/>
        </w:rPr>
        <w:t xml:space="preserve">All content in this manuscript has been written in original language and is not copied from any source. Factual claims are attributed to the peer-reviewed articles and regulatory guidance documents listed in the References section, each of which was independently checked against its publisher (Frontiers, </w:t>
      </w:r>
      <w:proofErr w:type="spellStart"/>
      <w:r w:rsidRPr="00ED1C3E">
        <w:rPr>
          <w:rFonts w:ascii="Times New Roman" w:hAnsi="Times New Roman" w:cs="Times New Roman"/>
          <w:color w:val="222222"/>
          <w:sz w:val="24"/>
          <w:szCs w:val="24"/>
        </w:rPr>
        <w:t>Cureus</w:t>
      </w:r>
      <w:proofErr w:type="spellEnd"/>
      <w:r w:rsidRPr="00ED1C3E">
        <w:rPr>
          <w:rFonts w:ascii="Times New Roman" w:hAnsi="Times New Roman" w:cs="Times New Roman"/>
          <w:color w:val="222222"/>
          <w:sz w:val="24"/>
          <w:szCs w:val="24"/>
        </w:rPr>
        <w:t>, WHO, ICMR, and FDA official pages) before inclusion.</w:t>
      </w:r>
    </w:p>
    <w:p w14:paraId="19CE7C35" w14:textId="77777777" w:rsidR="00150229" w:rsidRPr="00ED1C3E" w:rsidRDefault="00000000" w:rsidP="00E928EE">
      <w:pPr>
        <w:spacing w:after="160" w:line="276" w:lineRule="auto"/>
        <w:jc w:val="both"/>
        <w:rPr>
          <w:rFonts w:ascii="Times New Roman" w:hAnsi="Times New Roman" w:cs="Times New Roman"/>
          <w:sz w:val="24"/>
          <w:szCs w:val="24"/>
        </w:rPr>
      </w:pPr>
      <w:r w:rsidRPr="00ED1C3E">
        <w:rPr>
          <w:rFonts w:ascii="Times New Roman" w:hAnsi="Times New Roman" w:cs="Times New Roman"/>
          <w:color w:val="222222"/>
          <w:sz w:val="24"/>
          <w:szCs w:val="24"/>
        </w:rPr>
        <w:t>No fabricated statistics have been used; the only numerical figures cited (201 included studies; 58.2% U.S.-origin studies) are drawn directly from the reported results of the Aydin et al. (2024) scoping review.</w:t>
      </w:r>
    </w:p>
    <w:sectPr w:rsidR="00150229" w:rsidRPr="00ED1C3E">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82DFD" w14:textId="77777777" w:rsidR="00A95496" w:rsidRDefault="00A95496">
      <w:r>
        <w:separator/>
      </w:r>
    </w:p>
  </w:endnote>
  <w:endnote w:type="continuationSeparator" w:id="0">
    <w:p w14:paraId="449E4F60" w14:textId="77777777" w:rsidR="00A95496" w:rsidRDefault="00A95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585C" w14:textId="77777777" w:rsidR="0015022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31C2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31C2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E5B14" w14:textId="77777777" w:rsidR="00A95496" w:rsidRDefault="00A95496">
      <w:r>
        <w:separator/>
      </w:r>
    </w:p>
  </w:footnote>
  <w:footnote w:type="continuationSeparator" w:id="0">
    <w:p w14:paraId="471D2FE2" w14:textId="77777777" w:rsidR="00A95496" w:rsidRDefault="00A95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606DD"/>
    <w:multiLevelType w:val="hybridMultilevel"/>
    <w:tmpl w:val="05F4A45C"/>
    <w:lvl w:ilvl="0" w:tplc="DEB42722">
      <w:start w:val="1"/>
      <w:numFmt w:val="bullet"/>
      <w:lvlText w:val="●"/>
      <w:lvlJc w:val="left"/>
      <w:pPr>
        <w:ind w:left="720" w:hanging="360"/>
      </w:pPr>
    </w:lvl>
    <w:lvl w:ilvl="1" w:tplc="9550BA9A">
      <w:start w:val="1"/>
      <w:numFmt w:val="bullet"/>
      <w:lvlText w:val="○"/>
      <w:lvlJc w:val="left"/>
      <w:pPr>
        <w:ind w:left="1440" w:hanging="360"/>
      </w:pPr>
    </w:lvl>
    <w:lvl w:ilvl="2" w:tplc="21CABEEE">
      <w:start w:val="1"/>
      <w:numFmt w:val="bullet"/>
      <w:lvlText w:val="■"/>
      <w:lvlJc w:val="left"/>
      <w:pPr>
        <w:ind w:left="2160" w:hanging="360"/>
      </w:pPr>
    </w:lvl>
    <w:lvl w:ilvl="3" w:tplc="4BAA34F4">
      <w:start w:val="1"/>
      <w:numFmt w:val="bullet"/>
      <w:lvlText w:val="●"/>
      <w:lvlJc w:val="left"/>
      <w:pPr>
        <w:ind w:left="2880" w:hanging="360"/>
      </w:pPr>
    </w:lvl>
    <w:lvl w:ilvl="4" w:tplc="F222854E">
      <w:start w:val="1"/>
      <w:numFmt w:val="bullet"/>
      <w:lvlText w:val="○"/>
      <w:lvlJc w:val="left"/>
      <w:pPr>
        <w:ind w:left="3600" w:hanging="360"/>
      </w:pPr>
    </w:lvl>
    <w:lvl w:ilvl="5" w:tplc="A9A6B8FA">
      <w:start w:val="1"/>
      <w:numFmt w:val="bullet"/>
      <w:lvlText w:val="■"/>
      <w:lvlJc w:val="left"/>
      <w:pPr>
        <w:ind w:left="4320" w:hanging="360"/>
      </w:pPr>
    </w:lvl>
    <w:lvl w:ilvl="6" w:tplc="F07C8152">
      <w:start w:val="1"/>
      <w:numFmt w:val="bullet"/>
      <w:lvlText w:val="●"/>
      <w:lvlJc w:val="left"/>
      <w:pPr>
        <w:ind w:left="5040" w:hanging="360"/>
      </w:pPr>
    </w:lvl>
    <w:lvl w:ilvl="7" w:tplc="C3C4B3A6">
      <w:start w:val="1"/>
      <w:numFmt w:val="bullet"/>
      <w:lvlText w:val="●"/>
      <w:lvlJc w:val="left"/>
      <w:pPr>
        <w:ind w:left="5760" w:hanging="360"/>
      </w:pPr>
    </w:lvl>
    <w:lvl w:ilvl="8" w:tplc="71EA7E1C">
      <w:start w:val="1"/>
      <w:numFmt w:val="bullet"/>
      <w:lvlText w:val="●"/>
      <w:lvlJc w:val="left"/>
      <w:pPr>
        <w:ind w:left="6480" w:hanging="360"/>
      </w:pPr>
    </w:lvl>
  </w:abstractNum>
  <w:num w:numId="1" w16cid:durableId="220409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29"/>
    <w:rsid w:val="00150229"/>
    <w:rsid w:val="00336D3A"/>
    <w:rsid w:val="00A31C27"/>
    <w:rsid w:val="00A95496"/>
    <w:rsid w:val="00E928EE"/>
    <w:rsid w:val="00ED1C3E"/>
    <w:rsid w:val="00FC0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6B52"/>
  <w15:docId w15:val="{060ABE24-45A7-455B-B993-50AF42C3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NormalPara">
    <w:name w:val="Normal Para"/>
    <w:rPr>
      <w:color w:val="222222"/>
    </w:rPr>
  </w:style>
  <w:style w:type="paragraph" w:styleId="TOC1">
    <w:name w:val="toc 1"/>
    <w:basedOn w:val="Normal"/>
    <w:next w:val="Normal"/>
    <w:autoRedefine/>
    <w:uiPriority w:val="39"/>
    <w:unhideWhenUsed/>
    <w:rsid w:val="00A31C27"/>
    <w:pPr>
      <w:spacing w:after="100"/>
    </w:pPr>
  </w:style>
  <w:style w:type="paragraph" w:styleId="TOC2">
    <w:name w:val="toc 2"/>
    <w:basedOn w:val="Normal"/>
    <w:next w:val="Normal"/>
    <w:autoRedefine/>
    <w:uiPriority w:val="39"/>
    <w:unhideWhenUsed/>
    <w:rsid w:val="00A31C27"/>
    <w:pPr>
      <w:spacing w:after="100"/>
      <w:ind w:left="220"/>
    </w:pPr>
  </w:style>
  <w:style w:type="character" w:styleId="UnresolvedMention">
    <w:name w:val="Unresolved Mention"/>
    <w:basedOn w:val="DefaultParagraphFont"/>
    <w:uiPriority w:val="99"/>
    <w:semiHidden/>
    <w:unhideWhenUsed/>
    <w:rsid w:val="00ED1C3E"/>
    <w:rPr>
      <w:color w:val="605E5C"/>
      <w:shd w:val="clear" w:color="auto" w:fill="E1DFDD"/>
    </w:rPr>
  </w:style>
  <w:style w:type="character" w:styleId="FollowedHyperlink">
    <w:name w:val="FollowedHyperlink"/>
    <w:basedOn w:val="DefaultParagraphFont"/>
    <w:uiPriority w:val="99"/>
    <w:semiHidden/>
    <w:unhideWhenUsed/>
    <w:rsid w:val="00ED1C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cmr.gov.in/ethical-guidelines-for-application-of-artificial-intelligence-in-biomedical-research-and-healthcar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7759/cureus.7376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89/fmed.2024.1477898" TargetMode="External"/><Relationship Id="rId5" Type="http://schemas.openxmlformats.org/officeDocument/2006/relationships/footnotes" Target="footnotes.xml"/><Relationship Id="rId15" Type="http://schemas.openxmlformats.org/officeDocument/2006/relationships/hyperlink" Target="https://www.who.int/publications/b/70584"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da.gov/medical-devices/software-medical-device-samd/artificial-intelligence-software-medical-de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2010</Words>
  <Characters>11458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 H</cp:lastModifiedBy>
  <cp:revision>2</cp:revision>
  <dcterms:created xsi:type="dcterms:W3CDTF">2026-07-27T16:21:00Z</dcterms:created>
  <dcterms:modified xsi:type="dcterms:W3CDTF">2026-07-27T17:00:00Z</dcterms:modified>
</cp:coreProperties>
</file>