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0F172A"/>
          <w:left w:val="none"/>
          <w:bottom w:val="single" w:sz="6" w:space="0" w:color="0F172A"/>
          <w:right w:val="none"/>
          <w:insideH w:val="single" w:sz="4" w:space="0" w:color="E2E8F0"/>
          <w:insideV w:val="none"/>
        </w:tblBorders>
      </w:tblPr>
      <w:tblGrid>
        <w:gridCol w:w="6480"/>
        <w:gridCol w:w="4032"/>
      </w:tblGrid>
      <w:tr>
        <w:tc>
          <w:tcPr>
            <w:tcW w:type="dxa" w:w="5256"/>
            <w:tcMar>
              <w:top w:w="25" w:type="dxa"/>
              <w:bottom w:w="25" w:type="dxa"/>
              <w:left w:w="40" w:type="dxa"/>
              <w:right w:w="40" w:type="dxa"/>
            </w:tcMar>
          </w:tcPr>
          <w:p>
            <w:pPr>
              <w:spacing w:after="0"/>
            </w:pPr>
            <w:r>
              <w:rPr>
                <w:b/>
              </w:rPr>
              <w:t>Roopesh S N / Sreegokul S</w:t>
              <w:br/>
            </w:r>
            <w:r>
              <w:t>Department of Computer Science and Engineering (IoT &amp; Cyber Security)</w:t>
              <w:br/>
              <w:t>SNS College of Engineering, Coimbatore - 641035, Tamil Nadu, India</w:t>
            </w:r>
          </w:p>
        </w:tc>
        <w:tc>
          <w:tcPr>
            <w:tcW w:type="dxa" w:w="5256"/>
            <w:tcMar>
              <w:top w:w="25" w:type="dxa"/>
              <w:bottom w:w="25" w:type="dxa"/>
              <w:left w:w="40" w:type="dxa"/>
              <w:right w:w="40" w:type="dxa"/>
            </w:tcMar>
          </w:tcPr>
          <w:p>
            <w:pPr>
              <w:spacing w:after="0"/>
              <w:jc w:val="right"/>
            </w:pPr>
            <w:r>
              <w:t>Date: September 19, 2026</w:t>
              <w:br/>
            </w:r>
            <w:r>
              <w:rPr>
                <w:i/>
              </w:rPr>
              <w:t>Corresponding Submission</w:t>
              <w:br/>
            </w:r>
            <w:r>
              <w:t>Email: author.correspondence@snsgroups.com</w:t>
            </w:r>
          </w:p>
        </w:tc>
      </w:tr>
    </w:tbl>
    <w:p>
      <w:pPr>
        <w:spacing w:before="100" w:after="60"/>
      </w:pPr>
      <w:r>
        <w:rPr>
          <w:b/>
        </w:rPr>
        <w:t>To: The Editor-in-Chief / Editorial Board</w:t>
      </w:r>
    </w:p>
    <w:p>
      <w:pPr>
        <w:spacing w:before="40" w:after="80"/>
      </w:pPr>
      <w:r>
        <w:rPr>
          <w:b/>
          <w:sz w:val="19"/>
        </w:rPr>
        <w:t>Subject: Submission of Research Article — "ShadowAI Detection Pipeline: Browser-Level Detection and Risk Assessment of Unauthorized AI Usage"</w:t>
      </w:r>
    </w:p>
    <w:p>
      <w:pPr>
        <w:spacing w:after="60"/>
      </w:pPr>
      <w:r>
        <w:t>Dear Editor-in-Chief and Esteemed Editorial Board Members,</w:t>
      </w:r>
    </w:p>
    <w:p>
      <w:r>
        <w:t xml:space="preserve">We are pleased to submit our original research manuscript titled </w:t>
      </w:r>
      <w:r>
        <w:rPr>
          <w:b/>
        </w:rPr>
        <w:t xml:space="preserve">"ShadowAI Detection Pipeline: Browser-Level Detection and Risk Assessment of Unauthorized AI Usage" </w:t>
      </w:r>
      <w:r>
        <w:t>for consideration for publication as a regular research article. All co-authors have reviewed and approved this submission.</w:t>
      </w:r>
    </w:p>
    <w:p>
      <w:r>
        <w:t>Motivation &amp; Problem Statement: The rapid adoption of generative AI interfaces (ChatGPT, Claude, Gemini, Perplexity, Cohere) by enterprise employees has given rise to "Shadow AI"—unauthorized data submission that creates irreversible exfiltration risks because ingested prompts cannot be retracted. Existing enterprise safeguards rely on DNS blocklists (easily bypassed by unlisted/new tools) or SaaS discovery platforms (which expose leaks only post-egress). The underlying defensive failure is that existing tools inspect destinations rather than prompt content in real time.</w:t>
      </w:r>
    </w:p>
    <w:p>
      <w:r>
        <w:t>Key Contributions &amp; Technical Novelty: Our paper presents the Shadow AI Prompt Guardian (SENTINEL), a client-side Manifest V3 browser extension that intercepts prompts synchronously at the browser boundary before network transmission with zero latency. Core contributions include:</w:t>
      </w:r>
    </w:p>
    <w:p>
      <w:pPr>
        <w:spacing w:after="36"/>
        <w:ind w:left="216"/>
      </w:pPr>
      <w:r>
        <w:rPr>
          <w:b/>
          <w:sz w:val="17"/>
        </w:rPr>
        <w:t xml:space="preserve">• Multi-Layer Synchronous Interception: </w:t>
      </w:r>
      <w:r>
        <w:rPr>
          <w:sz w:val="17"/>
        </w:rPr>
        <w:t>A 6-layer pipeline hooking Fetch API, XMLHttpRequest (XHR), send-button clicks, Enter/Shift+Enter keydowns, form submissions, and MutationObserver for reactive SPAs.</w:t>
      </w:r>
    </w:p>
    <w:p>
      <w:pPr>
        <w:spacing w:after="36"/>
        <w:ind w:left="216"/>
      </w:pPr>
      <w:r>
        <w:rPr>
          <w:b/>
          <w:sz w:val="17"/>
        </w:rPr>
        <w:t xml:space="preserve">• Multi-Vector Engine &amp; Shannon Entropy: </w:t>
      </w:r>
      <w:r>
        <w:rPr>
          <w:sz w:val="17"/>
        </w:rPr>
        <w:t>Combines high-precision regex for 10+ cloud platforms (AWS, GitHub, OpenAI, Stripe, Slack, Azure, Google, Twilio, GitLab), credential/PII patterns, Shannon entropy (H &gt;= 4.0 bits/char on tokens &gt;= 20 chars), and context-aware false-positive suppression.</w:t>
      </w:r>
    </w:p>
    <w:p>
      <w:pPr>
        <w:spacing w:after="36"/>
        <w:ind w:left="216"/>
      </w:pPr>
      <w:r>
        <w:rPr>
          <w:b/>
          <w:sz w:val="17"/>
        </w:rPr>
        <w:t xml:space="preserve">• Strict Client-Side Privacy: </w:t>
      </w:r>
      <w:r>
        <w:rPr>
          <w:sz w:val="17"/>
        </w:rPr>
        <w:t>Operates with zero external API calls, zero telemetry, and zero raw prompt persistence, ensuring enterprise compliance.</w:t>
      </w:r>
    </w:p>
    <w:p>
      <w:pPr>
        <w:spacing w:after="36"/>
        <w:ind w:left="216"/>
      </w:pPr>
      <w:r>
        <w:rPr>
          <w:b/>
          <w:sz w:val="17"/>
        </w:rPr>
        <w:t xml:space="preserve">• Empirical Rigor &amp; Stress-Testing: </w:t>
      </w:r>
      <w:r>
        <w:rPr>
          <w:sz w:val="17"/>
        </w:rPr>
        <w:t>Achieved 1.00 accuracy, precision, recall, and F1 score on a 140-prompt categorized benchmark across five classes. A complementary 1,000-prompt combinatorial stress test achieved 95.4% accuracy, surfacing two reproducible, mechanistically characterized detection boundaries (label-style phrasing and query-context suppression).</w:t>
      </w:r>
    </w:p>
    <w:p>
      <w:pPr>
        <w:spacing w:before="40"/>
      </w:pPr>
      <w:r>
        <w:t>Declarations: This manuscript is original, has not been published previously, and is not currently under consideration elsewhere. We declare no conflicts of interest. Suggested Reviewer Fields: Data Loss Prevention (DLP), Browser Security, Generative AI Governance, and Applied Security Analytics.</w:t>
      </w:r>
    </w:p>
    <w:p>
      <w:pPr>
        <w:spacing w:before="80" w:after="20"/>
      </w:pPr>
      <w:r>
        <w:t>Thank you for your consideration.</w:t>
        <w:br/>
        <w:br/>
        <w:t>Sincerely,</w:t>
      </w:r>
    </w:p>
    <w:p>
      <w:pPr>
        <w:spacing w:after="0"/>
      </w:pPr>
      <w:r>
        <w:rPr>
          <w:b/>
          <w:sz w:val="17"/>
        </w:rPr>
        <w:t>Roopesh S N &amp; Sreegokul S (On behalf of all authors: Sreegokul S., Roopesh S. N., Ram Sakthi Sharumathi M., Sanjeev Kumar P., Saravana Kumar M.)</w:t>
        <w:br/>
        <w:t>Department of Computer Science and Engineering (IoT &amp; Cyber Security), SNS College of Engineering, Tamil Nadu, India</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before="0"/>
    </w:pPr>
    <w:rPr>
      <w:rFonts w:ascii="Times New Roman" w:hAnsi="Times New Roman"/>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