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656"/>
      </w:tblGrid>
      <w:tr>
        <w:tc>
          <w:tcPr>
            <w:tcW w:type="dxa" w:w="10656"/>
            <w:shd w:fill="0F172A"/>
            <w:tcMar>
              <w:top w:w="95" w:type="dxa"/>
              <w:bottom w:w="85" w:type="dxa"/>
              <w:left w:w="140" w:type="dxa"/>
              <w:right w:w="140" w:type="dxa"/>
            </w:tcMar>
            <w:tcBorders>
              <w:top w:val="none" w:sz="4" w:space="0" w:color="CBD5E1"/>
              <w:left w:val="none" w:sz="4" w:space="0" w:color="CBD5E1"/>
              <w:bottom w:val="single" w:sz="16" w:space="0" w:color="0284C7"/>
              <w:right w:val="none" w:sz="4" w:space="0" w:color="CBD5E1"/>
            </w:tcBorders>
          </w:tcPr>
          <w:p>
            <w:pPr>
              <w:spacing w:after="20"/>
              <w:jc w:val="center"/>
            </w:pPr>
            <w:r>
              <w:rPr>
                <w:rFonts w:ascii="Calibri" w:hAnsi="Calibri"/>
                <w:b/>
                <w:color w:val="38BDF8"/>
                <w:sz w:val="16"/>
              </w:rPr>
              <w:t>PROJECT HIGHLIGHTS &amp; EXECUTIVE SUMMARY</w:t>
            </w:r>
          </w:p>
          <w:p>
            <w:pPr>
              <w:spacing w:after="40"/>
              <w:jc w:val="center"/>
            </w:pPr>
            <w:r>
              <w:rPr>
                <w:rFonts w:ascii="Calibri" w:hAnsi="Calibri"/>
                <w:b/>
                <w:color w:val="FFFFFF"/>
                <w:sz w:val="29"/>
              </w:rPr>
              <w:t>Shadow AI Prompt Guardian (SENTINEL)</w:t>
            </w:r>
          </w:p>
          <w:p>
            <w:pPr>
              <w:spacing w:after="60"/>
              <w:jc w:val="center"/>
            </w:pPr>
            <w:r>
              <w:rPr>
                <w:rFonts w:ascii="Calibri" w:hAnsi="Calibri"/>
                <w:i/>
                <w:color w:val="CBD5E1"/>
                <w:sz w:val="19"/>
              </w:rPr>
              <w:t>Browser-Level Real-Time Detection and Risk Assessment of Unauthorized AI Usage</w:t>
            </w:r>
          </w:p>
          <w:p>
            <w:pPr>
              <w:spacing w:after="0"/>
              <w:jc w:val="center"/>
            </w:pPr>
            <w:r>
              <w:rPr>
                <w:b/>
                <w:color w:val="94A3B8"/>
                <w:sz w:val="16"/>
              </w:rPr>
              <w:t xml:space="preserve">Authors: </w:t>
            </w:r>
            <w:r>
              <w:rPr>
                <w:color w:val="E2E8F0"/>
                <w:sz w:val="16"/>
              </w:rPr>
              <w:t xml:space="preserve">Sreegokul S., Roopesh S. N., Ram Sakthi Sharumathi M., Sanjeev Kumar P., Saravana Kumar M.  |  </w:t>
            </w:r>
            <w:r>
              <w:rPr>
                <w:b/>
                <w:color w:val="94A3B8"/>
                <w:sz w:val="16"/>
              </w:rPr>
              <w:t xml:space="preserve">Affiliation: </w:t>
            </w:r>
            <w:r>
              <w:rPr>
                <w:color w:val="E2E8F0"/>
                <w:sz w:val="16"/>
              </w:rPr>
              <w:t>Dept. of CSE (IoT &amp; Cyber Security), SNS College of Engineering, Tamil Nadu, India</w:t>
            </w:r>
          </w:p>
        </w:tc>
      </w:tr>
    </w:tbl>
    <w:p>
      <w:pPr>
        <w:spacing w:before="50" w:after="30" w:line="20" w:lineRule="exact"/>
      </w:pPr>
    </w:p>
    <w:tbl>
      <w:tblPr>
        <w:tblW w:type="auto" w:w="0"/>
        <w:jc w:val="center"/>
        <w:tblLayout w:type="fixed"/>
        <w:tblLook w:firstColumn="1" w:firstRow="1" w:lastColumn="0" w:lastRow="0" w:noHBand="0" w:noVBand="1" w:val="04A0"/>
      </w:tblPr>
      <w:tblGrid>
        <w:gridCol w:w="10656"/>
      </w:tblGrid>
      <w:tr>
        <w:tc>
          <w:tcPr>
            <w:tcW w:type="dxa" w:w="10656"/>
            <w:shd w:fill="F8FAFC"/>
            <w:tcMar>
              <w:top w:w="65" w:type="dxa"/>
              <w:bottom w:w="65" w:type="dxa"/>
              <w:left w:w="120" w:type="dxa"/>
              <w:right w:w="120" w:type="dxa"/>
            </w:tcMar>
            <w:tcBorders>
              <w:top w:val="single" w:sz="4" w:space="0" w:color="E2E8F0"/>
              <w:left w:val="single" w:sz="14" w:space="0" w:color="0284C7"/>
              <w:bottom w:val="single" w:sz="4" w:space="0" w:color="E2E8F0"/>
              <w:right w:val="single" w:sz="4" w:space="0" w:color="E2E8F0"/>
            </w:tcBorders>
          </w:tcPr>
          <w:p>
            <w:pPr>
              <w:spacing w:after="40"/>
            </w:pPr>
            <w:r>
              <w:rPr>
                <w:b/>
                <w:color w:val="0284C7"/>
                <w:sz w:val="17"/>
              </w:rPr>
              <w:t xml:space="preserve">THE CORE PROBLEM &amp; OUR PARADIGM SHIFT: </w:t>
            </w:r>
            <w:r>
              <w:rPr>
                <w:sz w:val="17"/>
              </w:rPr>
              <w:t xml:space="preserve">"Shadow AI"—unauthorized employee use of public generative-AI interfaces (ChatGPT, Claude, Gemini, Perplexity, Cohere)—creates an irreversible data-leakage risk because submitted information cannot be recalled once ingested by external models. Existing enterprise DLP relies on domain blocklists (easily bypassed by unlisted tools) or SaaS discovery platforms (which expose breaches only after data has already escaped). </w:t>
            </w:r>
            <w:r>
              <w:rPr>
                <w:b/>
                <w:color w:val="0F172A"/>
                <w:sz w:val="17"/>
              </w:rPr>
              <w:t>Our Solution: A privacy-preserving Manifest V3 browser extension that performs synchronous, pre-transmission content inspection at the browser boundary, intercepting sensitive prompts before network egress with zero cloud dependency.</w:t>
            </w:r>
          </w:p>
        </w:tc>
      </w:tr>
    </w:tbl>
    <w:p>
      <w:pPr>
        <w:spacing w:before="40" w:after="40" w:line="20" w:lineRule="exac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227"/>
        <w:gridCol w:w="5227"/>
      </w:tblGrid>
      <w:tr>
        <w:tc>
          <w:tcPr>
            <w:tcW w:type="dxa" w:w="5328"/>
            <w:shd w:fill="FFFFFF"/>
            <w:tcMar>
              <w:top w:w="40" w:type="dxa"/>
              <w:bottom w:w="40" w:type="dxa"/>
              <w:left w:w="60" w:type="dxa"/>
              <w:right w:w="60" w:type="dxa"/>
            </w:tcMar>
            <w:tcBorders>
              <w:top w:val="single" w:sz="6" w:space="0" w:color="0284C7"/>
              <w:left w:val="single" w:sz="4" w:space="0" w:color="E2E8F0"/>
              <w:bottom w:val="single" w:sz="4" w:space="0" w:color="E2E8F0"/>
              <w:right w:val="single" w:sz="4" w:space="0" w:color="E2E8F0"/>
            </w:tcBorders>
          </w:tcPr>
          <w:p>
            <w:pPr>
              <w:spacing w:after="60"/>
            </w:pPr>
            <w:r>
              <w:rPr>
                <w:b/>
                <w:color w:val="0F172A"/>
                <w:sz w:val="19"/>
              </w:rPr>
              <w:t>SYSTEM ARCHITECTURE &amp; ENGINE</w:t>
            </w:r>
          </w:p>
          <w:p>
            <w:pPr>
              <w:spacing w:after="44" w:line="264" w:lineRule="auto"/>
            </w:pPr>
            <w:r>
              <w:rPr>
                <w:b/>
                <w:color w:val="1E293B"/>
                <w:sz w:val="16"/>
              </w:rPr>
              <w:t xml:space="preserve">• 6-Layer Interception: </w:t>
            </w:r>
            <w:r>
              <w:rPr>
                <w:color w:val="475569"/>
                <w:sz w:val="16"/>
              </w:rPr>
              <w:t>Monitors Fetch API, XMLHttpRequest (XHR), send-button clicks, Enter/Shift+Enter keydowns, form submissions, and MutationObserver for dynamic SPAs.</w:t>
            </w:r>
          </w:p>
          <w:p>
            <w:pPr>
              <w:spacing w:after="44" w:line="264" w:lineRule="auto"/>
            </w:pPr>
            <w:r>
              <w:rPr>
                <w:b/>
                <w:color w:val="1E293B"/>
                <w:sz w:val="16"/>
              </w:rPr>
              <w:t xml:space="preserve">• Multi-Tier Secret Detection: </w:t>
            </w:r>
            <w:r>
              <w:rPr>
                <w:color w:val="475569"/>
                <w:sz w:val="16"/>
              </w:rPr>
              <w:t>Regex signatures for AWS (AKIA...), GitHub (ghp_...), OpenAI (sk-...), Stripe (sk_live_...), Slack, Azure, Google OAuth, Twilio, and GitLab.</w:t>
            </w:r>
          </w:p>
          <w:p>
            <w:pPr>
              <w:spacing w:after="44" w:line="264" w:lineRule="auto"/>
            </w:pPr>
            <w:r>
              <w:rPr>
                <w:b/>
                <w:color w:val="1E293B"/>
                <w:sz w:val="16"/>
              </w:rPr>
              <w:t xml:space="preserve">• Credentials &amp; PII Recognition: </w:t>
            </w:r>
            <w:r>
              <w:rPr>
                <w:color w:val="475569"/>
                <w:sz w:val="16"/>
              </w:rPr>
              <w:t>Identifies Basic/Bearer auth tokens, password assignments, emails, phone numbers, SSNs, and IPv4/IPv6 addresses.</w:t>
            </w:r>
          </w:p>
          <w:p>
            <w:pPr>
              <w:spacing w:after="44" w:line="264" w:lineRule="auto"/>
            </w:pPr>
            <w:r>
              <w:rPr>
                <w:b/>
                <w:color w:val="1E293B"/>
                <w:sz w:val="16"/>
              </w:rPr>
              <w:t xml:space="preserve">• Shannon Entropy Analysis: </w:t>
            </w:r>
            <w:r>
              <w:rPr>
                <w:color w:val="475569"/>
                <w:sz w:val="16"/>
              </w:rPr>
              <w:t>Calculates character probability H = -∑ P(xᵢ) log₂(P(xᵢ)) to flag unclassified high-randomness tokens (≥20 chars, H ≥ 4.0 bits/char).</w:t>
            </w:r>
          </w:p>
          <w:p>
            <w:pPr>
              <w:spacing w:after="44" w:line="264" w:lineRule="auto"/>
            </w:pPr>
            <w:r>
              <w:rPr>
                <w:b/>
                <w:color w:val="1E293B"/>
                <w:sz w:val="16"/>
              </w:rPr>
              <w:t xml:space="preserve">• False-Positive Suppression: </w:t>
            </w:r>
            <w:r>
              <w:rPr>
                <w:color w:val="475569"/>
                <w:sz w:val="16"/>
              </w:rPr>
              <w:t>Context-aware scoring downweights educational queries (e.g., 'what is an API key') and legitimate code block references.</w:t>
            </w:r>
          </w:p>
          <w:p>
            <w:pPr>
              <w:spacing w:after="44" w:line="264" w:lineRule="auto"/>
            </w:pPr>
            <w:r>
              <w:rPr>
                <w:b/>
                <w:color w:val="1E293B"/>
                <w:sz w:val="16"/>
              </w:rPr>
              <w:t xml:space="preserve">• 100% Privacy-Preserving: </w:t>
            </w:r>
            <w:r>
              <w:rPr>
                <w:color w:val="475569"/>
                <w:sz w:val="16"/>
              </w:rPr>
              <w:t>Purely client-side execution; zero telemetry, zero external network calls, and masked audit logs only (e.g., AKIA••••••••••••LE).</w:t>
            </w:r>
          </w:p>
        </w:tc>
        <w:tc>
          <w:tcPr>
            <w:tcW w:type="dxa" w:w="5328"/>
            <w:shd w:fill="FFFFFF"/>
            <w:tcMar>
              <w:top w:w="40" w:type="dxa"/>
              <w:bottom w:w="40" w:type="dxa"/>
              <w:left w:w="60" w:type="dxa"/>
              <w:right w:w="60" w:type="dxa"/>
            </w:tcMar>
            <w:tcBorders>
              <w:top w:val="single" w:sz="6" w:space="0" w:color="16A34A"/>
              <w:left w:val="single" w:sz="4" w:space="0" w:color="E2E8F0"/>
              <w:bottom w:val="single" w:sz="4" w:space="0" w:color="E2E8F0"/>
              <w:right w:val="single" w:sz="4" w:space="0" w:color="E2E8F0"/>
            </w:tcBorders>
          </w:tcPr>
          <w:p>
            <w:pPr>
              <w:spacing w:after="60"/>
            </w:pPr>
            <w:r>
              <w:rPr>
                <w:b/>
                <w:color w:val="0F172A"/>
                <w:sz w:val="19"/>
              </w:rPr>
              <w:t>EMPIRICAL BENCHMARKS &amp; FINDINGS</w:t>
            </w:r>
          </w:p>
          <w:p>
            <w:pPr>
              <w:spacing w:after="44" w:line="264" w:lineRule="auto"/>
            </w:pPr>
            <w:r>
              <w:rPr>
                <w:b/>
                <w:color w:val="166534"/>
                <w:sz w:val="16"/>
              </w:rPr>
              <w:t xml:space="preserve">• Primary 140-Prompt Test: </w:t>
            </w:r>
            <w:r>
              <w:rPr>
                <w:color w:val="475569"/>
                <w:sz w:val="16"/>
              </w:rPr>
              <w:t>Evaluated across 5 realistic enterprise classes: Clean (45), API Key (30), PII (23), Confidential Terms (23), Password (19).</w:t>
            </w:r>
          </w:p>
          <w:p>
            <w:pPr>
              <w:spacing w:after="44" w:line="264" w:lineRule="auto"/>
            </w:pPr>
            <w:r>
              <w:rPr>
                <w:b/>
                <w:color w:val="166534"/>
                <w:sz w:val="16"/>
              </w:rPr>
              <w:t xml:space="preserve">• Flawless Categorized Metrics: </w:t>
            </w:r>
            <w:r>
              <w:rPr>
                <w:color w:val="475569"/>
                <w:sz w:val="16"/>
              </w:rPr>
              <w:t>Achieved 1.00 Accuracy, 1.00 Precision, 1.00 Recall, and 1.00 F1-score across all 5 categories with zero false positives/negatives.</w:t>
            </w:r>
          </w:p>
          <w:p>
            <w:pPr>
              <w:spacing w:after="44" w:line="264" w:lineRule="auto"/>
            </w:pPr>
            <w:r>
              <w:rPr>
                <w:b/>
                <w:color w:val="166534"/>
                <w:sz w:val="16"/>
              </w:rPr>
              <w:t xml:space="preserve">• 1,000-Prompt Adversarial Stress Test: </w:t>
            </w:r>
            <w:r>
              <w:rPr>
                <w:color w:val="475569"/>
                <w:sz w:val="16"/>
              </w:rPr>
              <w:t>Combinatorially generated via 15 verb templates × 15 technical contexts × 8 credential formats to test boundary conditions.</w:t>
            </w:r>
          </w:p>
          <w:p>
            <w:pPr>
              <w:spacing w:after="44" w:line="264" w:lineRule="auto"/>
            </w:pPr>
            <w:r>
              <w:rPr>
                <w:b/>
                <w:color w:val="166534"/>
                <w:sz w:val="16"/>
              </w:rPr>
              <w:t xml:space="preserve">• At-Scale Stress-Test Accuracy: </w:t>
            </w:r>
            <w:r>
              <w:rPr>
                <w:color w:val="475569"/>
                <w:sz w:val="16"/>
              </w:rPr>
              <w:t>Achieved 95.4% accuracy (954 / 1,000 True Positives correctly intercepted; 46 False Negatives) at high combinatorial complexity.</w:t>
            </w:r>
          </w:p>
          <w:p>
            <w:pPr>
              <w:spacing w:after="44" w:line="264" w:lineRule="auto"/>
            </w:pPr>
            <w:r>
              <w:rPr>
                <w:b/>
                <w:color w:val="166534"/>
                <w:sz w:val="16"/>
              </w:rPr>
              <w:t xml:space="preserve">• Mechanistic Failure Characterization: </w:t>
            </w:r>
            <w:r>
              <w:rPr>
                <w:color w:val="475569"/>
                <w:sz w:val="16"/>
              </w:rPr>
              <w:t>Quantified two root causes: (1) label-style secret phrasing lacking '=' operator; (2) context score suppression on query-style debugging prefixes.</w:t>
            </w:r>
          </w:p>
          <w:p>
            <w:pPr>
              <w:spacing w:after="44" w:line="264" w:lineRule="auto"/>
            </w:pPr>
            <w:r>
              <w:rPr>
                <w:b/>
                <w:color w:val="166534"/>
                <w:sz w:val="16"/>
              </w:rPr>
              <w:t xml:space="preserve">• Production Latency: </w:t>
            </w:r>
            <w:r>
              <w:rPr>
                <w:color w:val="475569"/>
                <w:sz w:val="16"/>
              </w:rPr>
              <w:t>Synchronous in-browser execution introduces no human-perceptible input lag across ChatGPT, Claude, Gemini, Perplexity, and Cohere.</w:t>
            </w:r>
          </w:p>
        </w:tc>
      </w:tr>
    </w:tbl>
    <w:p>
      <w:pPr>
        <w:spacing w:before="40" w:after="40" w:line="20" w:lineRule="exact"/>
      </w:pPr>
    </w:p>
    <w:p>
      <w:pPr>
        <w:spacing w:after="30"/>
      </w:pPr>
      <w:r>
        <w:rPr>
          <w:b/>
          <w:color w:val="0F172A"/>
          <w:sz w:val="17"/>
        </w:rPr>
        <w:t>SUMMARY TABLE: EVALUATION DATASET PERFORMANCE COMPARISON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776"/>
        <w:gridCol w:w="1776"/>
        <w:gridCol w:w="1776"/>
        <w:gridCol w:w="1776"/>
        <w:gridCol w:w="1776"/>
        <w:gridCol w:w="1776"/>
      </w:tblGrid>
      <w:tr>
        <w:tc>
          <w:tcPr>
            <w:tcW w:type="dxa" w:w="2160"/>
            <w:shd w:fill="0F172A"/>
            <w:tcMar>
              <w:top w:w="40" w:type="dxa"/>
              <w:bottom w:w="40" w:type="dxa"/>
              <w:left w:w="60" w:type="dxa"/>
              <w:right w:w="60" w:type="dxa"/>
            </w:tcMar>
          </w:tcPr>
          <w:p>
            <w:pPr>
              <w:spacing w:after="0"/>
              <w:jc w:val="center"/>
            </w:pPr>
            <w:r>
              <w:rPr>
                <w:b/>
                <w:color w:val="FFFFFF"/>
                <w:sz w:val="15"/>
              </w:rPr>
              <w:t>Evaluation Scope</w:t>
            </w:r>
          </w:p>
        </w:tc>
        <w:tc>
          <w:tcPr>
            <w:tcW w:type="dxa" w:w="1008"/>
            <w:shd w:fill="0F172A"/>
            <w:tcMar>
              <w:top w:w="40" w:type="dxa"/>
              <w:bottom w:w="40" w:type="dxa"/>
              <w:left w:w="60" w:type="dxa"/>
              <w:right w:w="60" w:type="dxa"/>
            </w:tcMar>
          </w:tcPr>
          <w:p>
            <w:pPr>
              <w:spacing w:after="0"/>
              <w:jc w:val="center"/>
            </w:pPr>
            <w:r>
              <w:rPr>
                <w:b/>
                <w:color w:val="FFFFFF"/>
                <w:sz w:val="15"/>
              </w:rPr>
              <w:t>Prompts</w:t>
            </w:r>
          </w:p>
        </w:tc>
        <w:tc>
          <w:tcPr>
            <w:tcW w:type="dxa" w:w="2592"/>
            <w:shd w:fill="0F172A"/>
            <w:tcMar>
              <w:top w:w="40" w:type="dxa"/>
              <w:bottom w:w="40" w:type="dxa"/>
              <w:left w:w="60" w:type="dxa"/>
              <w:right w:w="60" w:type="dxa"/>
            </w:tcMar>
          </w:tcPr>
          <w:p>
            <w:pPr>
              <w:spacing w:after="0"/>
              <w:jc w:val="center"/>
            </w:pPr>
            <w:r>
              <w:rPr>
                <w:b/>
                <w:color w:val="FFFFFF"/>
                <w:sz w:val="15"/>
              </w:rPr>
              <w:t>Categories Evaluated</w:t>
            </w:r>
          </w:p>
        </w:tc>
        <w:tc>
          <w:tcPr>
            <w:tcW w:type="dxa" w:w="1152"/>
            <w:shd w:fill="0F172A"/>
            <w:tcMar>
              <w:top w:w="40" w:type="dxa"/>
              <w:bottom w:w="40" w:type="dxa"/>
              <w:left w:w="60" w:type="dxa"/>
              <w:right w:w="60" w:type="dxa"/>
            </w:tcMar>
          </w:tcPr>
          <w:p>
            <w:pPr>
              <w:spacing w:after="0"/>
              <w:jc w:val="center"/>
            </w:pPr>
            <w:r>
              <w:rPr>
                <w:b/>
                <w:color w:val="FFFFFF"/>
                <w:sz w:val="15"/>
              </w:rPr>
              <w:t>Accuracy</w:t>
            </w:r>
          </w:p>
        </w:tc>
        <w:tc>
          <w:tcPr>
            <w:tcW w:type="dxa" w:w="1152"/>
            <w:shd w:fill="0F172A"/>
            <w:tcMar>
              <w:top w:w="40" w:type="dxa"/>
              <w:bottom w:w="40" w:type="dxa"/>
              <w:left w:w="60" w:type="dxa"/>
              <w:right w:w="60" w:type="dxa"/>
            </w:tcMar>
          </w:tcPr>
          <w:p>
            <w:pPr>
              <w:spacing w:after="0"/>
              <w:jc w:val="center"/>
            </w:pPr>
            <w:r>
              <w:rPr>
                <w:b/>
                <w:color w:val="FFFFFF"/>
                <w:sz w:val="15"/>
              </w:rPr>
              <w:t>Recall / F1</w:t>
            </w:r>
          </w:p>
        </w:tc>
        <w:tc>
          <w:tcPr>
            <w:tcW w:type="dxa" w:w="2592"/>
            <w:shd w:fill="0F172A"/>
            <w:tcMar>
              <w:top w:w="40" w:type="dxa"/>
              <w:bottom w:w="40" w:type="dxa"/>
              <w:left w:w="60" w:type="dxa"/>
              <w:right w:w="60" w:type="dxa"/>
            </w:tcMar>
          </w:tcPr>
          <w:p>
            <w:pPr>
              <w:spacing w:after="0"/>
              <w:jc w:val="center"/>
            </w:pPr>
            <w:r>
              <w:rPr>
                <w:b/>
                <w:color w:val="FFFFFF"/>
                <w:sz w:val="15"/>
              </w:rPr>
              <w:t>Key Empirical Outcome</w:t>
            </w:r>
          </w:p>
        </w:tc>
      </w:tr>
      <w:tr>
        <w:tc>
          <w:tcPr>
            <w:tcW w:type="dxa" w:w="2160"/>
            <w:shd w:fill="F8FAFC"/>
            <w:tcMar>
              <w:top w:w="35" w:type="dxa"/>
              <w:bottom w:w="35" w:type="dxa"/>
              <w:left w:w="60" w:type="dxa"/>
              <w:right w:w="60" w:type="dxa"/>
            </w:tcMar>
          </w:tcPr>
          <w:p>
            <w:pPr>
              <w:spacing w:after="0" w:line="252" w:lineRule="auto"/>
              <w:jc w:val="left"/>
            </w:pPr>
            <w:r>
              <w:rPr>
                <w:b/>
                <w:color w:val="0F172A"/>
                <w:sz w:val="15"/>
              </w:rPr>
              <w:t>Primary Categorized Dataset</w:t>
            </w:r>
          </w:p>
        </w:tc>
        <w:tc>
          <w:tcPr>
            <w:tcW w:type="dxa" w:w="1008"/>
            <w:shd w:fill="F8FAFC"/>
            <w:tcMar>
              <w:top w:w="35" w:type="dxa"/>
              <w:bottom w:w="35" w:type="dxa"/>
              <w:left w:w="60" w:type="dxa"/>
              <w:right w:w="60" w:type="dxa"/>
            </w:tcMar>
          </w:tcPr>
          <w:p>
            <w:pPr>
              <w:spacing w:after="0" w:line="252" w:lineRule="auto"/>
              <w:jc w:val="center"/>
            </w:pPr>
            <w:r>
              <w:rPr>
                <w:color w:val="475569"/>
                <w:sz w:val="15"/>
              </w:rPr>
              <w:t>140</w:t>
            </w:r>
          </w:p>
        </w:tc>
        <w:tc>
          <w:tcPr>
            <w:tcW w:type="dxa" w:w="2592"/>
            <w:shd w:fill="F8FAFC"/>
            <w:tcMar>
              <w:top w:w="35" w:type="dxa"/>
              <w:bottom w:w="35" w:type="dxa"/>
              <w:left w:w="60" w:type="dxa"/>
              <w:right w:w="60" w:type="dxa"/>
            </w:tcMar>
          </w:tcPr>
          <w:p>
            <w:pPr>
              <w:spacing w:after="0" w:line="252" w:lineRule="auto"/>
              <w:jc w:val="left"/>
            </w:pPr>
            <w:r>
              <w:rPr>
                <w:color w:val="475569"/>
                <w:sz w:val="15"/>
              </w:rPr>
              <w:t>Clean (45), API Keys (30), PII (23), Terms (23), Pwd (19)</w:t>
            </w:r>
          </w:p>
        </w:tc>
        <w:tc>
          <w:tcPr>
            <w:tcW w:type="dxa" w:w="1152"/>
            <w:shd w:fill="F8FAFC"/>
            <w:tcMar>
              <w:top w:w="35" w:type="dxa"/>
              <w:bottom w:w="35" w:type="dxa"/>
              <w:left w:w="60" w:type="dxa"/>
              <w:right w:w="60" w:type="dxa"/>
            </w:tcMar>
          </w:tcPr>
          <w:p>
            <w:pPr>
              <w:spacing w:after="0" w:line="252" w:lineRule="auto"/>
              <w:jc w:val="center"/>
            </w:pPr>
            <w:r>
              <w:rPr>
                <w:b/>
                <w:color w:val="10B981"/>
                <w:sz w:val="15"/>
              </w:rPr>
              <w:t>100.0%</w:t>
            </w:r>
          </w:p>
        </w:tc>
        <w:tc>
          <w:tcPr>
            <w:tcW w:type="dxa" w:w="1152"/>
            <w:shd w:fill="F8FAFC"/>
            <w:tcMar>
              <w:top w:w="35" w:type="dxa"/>
              <w:bottom w:w="35" w:type="dxa"/>
              <w:left w:w="60" w:type="dxa"/>
              <w:right w:w="60" w:type="dxa"/>
            </w:tcMar>
          </w:tcPr>
          <w:p>
            <w:pPr>
              <w:spacing w:after="0" w:line="252" w:lineRule="auto"/>
              <w:jc w:val="center"/>
            </w:pPr>
            <w:r>
              <w:rPr>
                <w:b/>
                <w:color w:val="0284C7"/>
                <w:sz w:val="15"/>
              </w:rPr>
              <w:t>1.00 / 1.00</w:t>
            </w:r>
          </w:p>
        </w:tc>
        <w:tc>
          <w:tcPr>
            <w:tcW w:type="dxa" w:w="2592"/>
            <w:shd w:fill="F8FAFC"/>
            <w:tcMar>
              <w:top w:w="35" w:type="dxa"/>
              <w:bottom w:w="35" w:type="dxa"/>
              <w:left w:w="60" w:type="dxa"/>
              <w:right w:w="60" w:type="dxa"/>
            </w:tcMar>
          </w:tcPr>
          <w:p>
            <w:pPr>
              <w:spacing w:after="0" w:line="252" w:lineRule="auto"/>
              <w:jc w:val="left"/>
            </w:pPr>
            <w:r>
              <w:rPr>
                <w:color w:val="475569"/>
                <w:sz w:val="15"/>
              </w:rPr>
              <w:t>Zero FP &amp; Zero FN; flawless syntactic secret &amp; PII classification.</w:t>
            </w:r>
          </w:p>
        </w:tc>
      </w:tr>
      <w:tr>
        <w:tc>
          <w:tcPr>
            <w:tcW w:type="dxa" w:w="2160"/>
            <w:shd w:fill="FFFFFF"/>
            <w:tcMar>
              <w:top w:w="35" w:type="dxa"/>
              <w:bottom w:w="35" w:type="dxa"/>
              <w:left w:w="60" w:type="dxa"/>
              <w:right w:w="60" w:type="dxa"/>
            </w:tcMar>
          </w:tcPr>
          <w:p>
            <w:pPr>
              <w:spacing w:after="0" w:line="252" w:lineRule="auto"/>
              <w:jc w:val="left"/>
            </w:pPr>
            <w:r>
              <w:rPr>
                <w:b/>
                <w:color w:val="0F172A"/>
                <w:sz w:val="15"/>
              </w:rPr>
              <w:t>Large-Scale Stress Test</w:t>
            </w:r>
          </w:p>
        </w:tc>
        <w:tc>
          <w:tcPr>
            <w:tcW w:type="dxa" w:w="1008"/>
            <w:shd w:fill="FFFFFF"/>
            <w:tcMar>
              <w:top w:w="35" w:type="dxa"/>
              <w:bottom w:w="35" w:type="dxa"/>
              <w:left w:w="60" w:type="dxa"/>
              <w:right w:w="60" w:type="dxa"/>
            </w:tcMar>
          </w:tcPr>
          <w:p>
            <w:pPr>
              <w:spacing w:after="0" w:line="252" w:lineRule="auto"/>
              <w:jc w:val="center"/>
            </w:pPr>
            <w:r>
              <w:rPr>
                <w:color w:val="475569"/>
                <w:sz w:val="15"/>
              </w:rPr>
              <w:t>1,000</w:t>
            </w:r>
          </w:p>
        </w:tc>
        <w:tc>
          <w:tcPr>
            <w:tcW w:type="dxa" w:w="2592"/>
            <w:shd w:fill="FFFFFF"/>
            <w:tcMar>
              <w:top w:w="35" w:type="dxa"/>
              <w:bottom w:w="35" w:type="dxa"/>
              <w:left w:w="60" w:type="dxa"/>
              <w:right w:w="60" w:type="dxa"/>
            </w:tcMar>
          </w:tcPr>
          <w:p>
            <w:pPr>
              <w:spacing w:after="0" w:line="252" w:lineRule="auto"/>
              <w:jc w:val="left"/>
            </w:pPr>
            <w:r>
              <w:rPr>
                <w:color w:val="475569"/>
                <w:sz w:val="15"/>
              </w:rPr>
              <w:t>API keys, passwords, internal tools across 15×15×8 templates</w:t>
            </w:r>
          </w:p>
        </w:tc>
        <w:tc>
          <w:tcPr>
            <w:tcW w:type="dxa" w:w="1152"/>
            <w:shd w:fill="FFFFFF"/>
            <w:tcMar>
              <w:top w:w="35" w:type="dxa"/>
              <w:bottom w:w="35" w:type="dxa"/>
              <w:left w:w="60" w:type="dxa"/>
              <w:right w:w="60" w:type="dxa"/>
            </w:tcMar>
          </w:tcPr>
          <w:p>
            <w:pPr>
              <w:spacing w:after="0" w:line="252" w:lineRule="auto"/>
              <w:jc w:val="center"/>
            </w:pPr>
            <w:r>
              <w:rPr>
                <w:b/>
                <w:color w:val="0284C7"/>
                <w:sz w:val="15"/>
              </w:rPr>
              <w:t>95.4%</w:t>
            </w:r>
          </w:p>
        </w:tc>
        <w:tc>
          <w:tcPr>
            <w:tcW w:type="dxa" w:w="1152"/>
            <w:shd w:fill="FFFFFF"/>
            <w:tcMar>
              <w:top w:w="35" w:type="dxa"/>
              <w:bottom w:w="35" w:type="dxa"/>
              <w:left w:w="60" w:type="dxa"/>
              <w:right w:w="60" w:type="dxa"/>
            </w:tcMar>
          </w:tcPr>
          <w:p>
            <w:pPr>
              <w:spacing w:after="0" w:line="252" w:lineRule="auto"/>
              <w:jc w:val="center"/>
            </w:pPr>
            <w:r>
              <w:rPr>
                <w:b/>
                <w:color w:val="0284C7"/>
                <w:sz w:val="15"/>
              </w:rPr>
              <w:t>95.4% / —</w:t>
            </w:r>
          </w:p>
        </w:tc>
        <w:tc>
          <w:tcPr>
            <w:tcW w:type="dxa" w:w="2592"/>
            <w:shd w:fill="FFFFFF"/>
            <w:tcMar>
              <w:top w:w="35" w:type="dxa"/>
              <w:bottom w:w="35" w:type="dxa"/>
              <w:left w:w="60" w:type="dxa"/>
              <w:right w:w="60" w:type="dxa"/>
            </w:tcMar>
          </w:tcPr>
          <w:p>
            <w:pPr>
              <w:spacing w:after="0" w:line="252" w:lineRule="auto"/>
              <w:jc w:val="left"/>
            </w:pPr>
            <w:r>
              <w:rPr>
                <w:color w:val="475569"/>
                <w:sz w:val="15"/>
              </w:rPr>
              <w:t>Surfaced 46 FN: label-style formats &amp; query-context suppression.</w:t>
            </w:r>
          </w:p>
        </w:tc>
      </w:tr>
    </w:tbl>
    <w:p>
      <w:pPr>
        <w:spacing w:before="40" w:after="40" w:line="20" w:lineRule="exac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227"/>
        <w:gridCol w:w="5227"/>
      </w:tblGrid>
      <w:tr>
        <w:tc>
          <w:tcPr>
            <w:tcW w:type="dxa" w:w="5328"/>
            <w:shd w:fill="F8FAFC"/>
            <w:tcMar>
              <w:top w:w="40" w:type="dxa"/>
              <w:bottom w:w="40" w:type="dxa"/>
              <w:left w:w="70" w:type="dxa"/>
              <w:right w:w="70" w:type="dxa"/>
            </w:tcMar>
            <w:tcBorders>
              <w:top w:val="single" w:sz="6" w:space="0" w:color="0284C7"/>
              <w:left w:val="single" w:sz="4" w:space="0" w:color="CBD5E1"/>
              <w:bottom w:val="single" w:sz="4" w:space="0" w:color="CBD5E1"/>
              <w:right w:val="single" w:sz="4" w:space="0" w:color="CBD5E1"/>
            </w:tcBorders>
          </w:tcPr>
          <w:p>
            <w:pPr>
              <w:spacing w:after="40"/>
            </w:pPr>
            <w:r>
              <w:rPr>
                <w:b/>
                <w:color w:val="0284C7"/>
                <w:sz w:val="17"/>
              </w:rPr>
              <w:t>KEY INNOVATIONS &amp; DIFFERENTIATORS</w:t>
            </w:r>
          </w:p>
          <w:p>
            <w:pPr>
              <w:spacing w:after="36" w:line="259" w:lineRule="auto"/>
            </w:pPr>
            <w:r>
              <w:rPr>
                <w:b/>
                <w:color w:val="0F172A"/>
                <w:sz w:val="15"/>
              </w:rPr>
              <w:t xml:space="preserve">✓ Pre-Transmission Blocking: </w:t>
            </w:r>
            <w:r>
              <w:rPr>
                <w:color w:val="475569"/>
                <w:sz w:val="15"/>
              </w:rPr>
              <w:t>Prevents irreversible leaks at keystroke/submit time; unlike DNS/SaaS discovery tools which only flag breaches after data has escaped.</w:t>
            </w:r>
          </w:p>
          <w:p>
            <w:pPr>
              <w:spacing w:after="36" w:line="259" w:lineRule="auto"/>
            </w:pPr>
            <w:r>
              <w:rPr>
                <w:b/>
                <w:color w:val="0F172A"/>
                <w:sz w:val="15"/>
              </w:rPr>
              <w:t xml:space="preserve">✓ Zero Network &amp; Telemetry Footprint: </w:t>
            </w:r>
            <w:r>
              <w:rPr>
                <w:color w:val="475569"/>
                <w:sz w:val="15"/>
              </w:rPr>
              <w:t>Does not transmit user prompts to any cloud server for inspection, meeting strict enterprise privacy &amp; compliance standards.</w:t>
            </w:r>
          </w:p>
          <w:p>
            <w:pPr>
              <w:spacing w:after="36" w:line="259" w:lineRule="auto"/>
            </w:pPr>
            <w:r>
              <w:rPr>
                <w:b/>
                <w:color w:val="0F172A"/>
                <w:sz w:val="15"/>
              </w:rPr>
              <w:t xml:space="preserve">✓ Hybrid Heuristic &amp; Entropy Engine: </w:t>
            </w:r>
            <w:r>
              <w:rPr>
                <w:color w:val="475569"/>
                <w:sz w:val="15"/>
              </w:rPr>
              <w:t>Pairs high-precision deterministic regex rules with Shannon entropy to flag custom/unknown secret formats.</w:t>
            </w:r>
          </w:p>
          <w:p>
            <w:pPr>
              <w:spacing w:after="36" w:line="259" w:lineRule="auto"/>
            </w:pPr>
            <w:r>
              <w:rPr>
                <w:b/>
                <w:color w:val="0F172A"/>
                <w:sz w:val="15"/>
              </w:rPr>
              <w:t xml:space="preserve">✓ Multi-Platform Universal Coverage: </w:t>
            </w:r>
            <w:r>
              <w:rPr>
                <w:color w:val="475569"/>
                <w:sz w:val="15"/>
              </w:rPr>
              <w:t>Shields ChatGPT, Claude, Gemini, Perplexity, and Cohere through unified DOM &amp; API interception hooks.</w:t>
            </w:r>
          </w:p>
        </w:tc>
        <w:tc>
          <w:tcPr>
            <w:tcW w:type="dxa" w:w="5328"/>
            <w:shd w:fill="F8FAFC"/>
            <w:tcMar>
              <w:top w:w="40" w:type="dxa"/>
              <w:bottom w:w="40" w:type="dxa"/>
              <w:left w:w="70" w:type="dxa"/>
              <w:right w:w="70" w:type="dxa"/>
            </w:tcMar>
            <w:tcBorders>
              <w:top w:val="single" w:sz="6" w:space="0" w:color="6366F1"/>
              <w:left w:val="single" w:sz="4" w:space="0" w:color="CBD5E1"/>
              <w:bottom w:val="single" w:sz="4" w:space="0" w:color="CBD5E1"/>
              <w:right w:val="single" w:sz="4" w:space="0" w:color="CBD5E1"/>
            </w:tcBorders>
          </w:tcPr>
          <w:p>
            <w:pPr>
              <w:spacing w:after="40"/>
            </w:pPr>
            <w:r>
              <w:rPr>
                <w:b/>
                <w:color w:val="6366F1"/>
                <w:sz w:val="17"/>
              </w:rPr>
              <w:t>LIMITATIONS &amp; ENGINEERING ROADMAP</w:t>
            </w:r>
          </w:p>
          <w:p>
            <w:pPr>
              <w:spacing w:after="36" w:line="259" w:lineRule="auto"/>
            </w:pPr>
            <w:r>
              <w:rPr>
                <w:b/>
                <w:color w:val="0F172A"/>
                <w:sz w:val="15"/>
              </w:rPr>
              <w:t xml:space="preserve">→ Multi-Turn Context Window Analysis: </w:t>
            </w:r>
            <w:r>
              <w:rPr>
                <w:color w:val="475569"/>
                <w:sz w:val="15"/>
              </w:rPr>
              <w:t>Aggregating conversational history across multiple messages to prevent slow-drip distributed data exfiltration.</w:t>
            </w:r>
          </w:p>
          <w:p>
            <w:pPr>
              <w:spacing w:after="36" w:line="259" w:lineRule="auto"/>
            </w:pPr>
            <w:r>
              <w:rPr>
                <w:b/>
                <w:color w:val="0F172A"/>
                <w:sz w:val="15"/>
              </w:rPr>
              <w:t xml:space="preserve">→ Client-Side Document Scanning: </w:t>
            </w:r>
            <w:r>
              <w:rPr>
                <w:color w:val="475569"/>
                <w:sz w:val="15"/>
              </w:rPr>
              <w:t>Extending inspection to file uploads (PDF, CSV, DOCX) directly in the browser before transfer.</w:t>
            </w:r>
          </w:p>
          <w:p>
            <w:pPr>
              <w:spacing w:after="36" w:line="259" w:lineRule="auto"/>
            </w:pPr>
            <w:r>
              <w:rPr>
                <w:b/>
                <w:color w:val="0F172A"/>
                <w:sz w:val="15"/>
              </w:rPr>
              <w:t xml:space="preserve">→ Local ML Model Integration: </w:t>
            </w:r>
            <w:r>
              <w:rPr>
                <w:color w:val="475569"/>
                <w:sz w:val="15"/>
              </w:rPr>
              <w:t>Embedding lightweight TensorFlow.js models for semantic &amp; paraphrased leak detection beyond regex boundaries.</w:t>
            </w:r>
          </w:p>
          <w:p>
            <w:pPr>
              <w:spacing w:after="36" w:line="259" w:lineRule="auto"/>
            </w:pPr>
            <w:r>
              <w:rPr>
                <w:b/>
                <w:color w:val="0F172A"/>
                <w:sz w:val="15"/>
              </w:rPr>
              <w:t xml:space="preserve">→ Tiered Severity Scoring: </w:t>
            </w:r>
            <w:r>
              <w:rPr>
                <w:color w:val="475569"/>
                <w:sz w:val="15"/>
              </w:rPr>
              <w:t>Implementing graduated alert levels (Critical / Warning / Info) to streamline workflow and eliminate alert fatigue.</w:t>
            </w:r>
          </w:p>
        </w:tc>
      </w:tr>
    </w:tbl>
    <w:p>
      <w:pPr>
        <w:spacing w:before="80" w:after="0"/>
        <w:jc w:val="center"/>
      </w:pPr>
      <w:r>
        <w:rPr>
          <w:color w:val="94A3B8"/>
          <w:sz w:val="14"/>
        </w:rPr>
        <w:t>Shadow AI Prompt Guardian (SENTINEL)  |  Manifest V3 Chrome Extension  |  Academic Journal Publication Highlights  |  Page 1 of 1</w:t>
      </w:r>
    </w:p>
    <w:sectPr w:rsidR="00FC693F" w:rsidRPr="0006063C" w:rsidSect="00034616">
      <w:pgSz w:w="12240" w:h="15840"/>
      <w:pgMar w:top="576" w:right="792" w:bottom="576"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before="0"/>
    </w:pPr>
    <w:rPr>
      <w:rFonts w:ascii="Calibri" w:hAnsi="Calibr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