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0716" w14:textId="77777777" w:rsidR="00E13AAF" w:rsidRDefault="00000000">
      <w:pPr>
        <w:spacing w:after="30"/>
        <w:jc w:val="center"/>
      </w:pPr>
      <w:r>
        <w:rPr>
          <w:b/>
          <w:color w:val="1F3864"/>
          <w:sz w:val="28"/>
          <w:szCs w:val="28"/>
        </w:rPr>
        <w:t>Parametric Azure → AWS Migration — Discovery Workshops</w:t>
      </w:r>
    </w:p>
    <w:p w14:paraId="19F9B09C" w14:textId="3DB3E948" w:rsidR="00E13AAF" w:rsidRDefault="00000000">
      <w:pPr>
        <w:spacing w:after="120"/>
        <w:jc w:val="center"/>
      </w:pPr>
      <w:r>
        <w:rPr>
          <w:color w:val="595959"/>
          <w:sz w:val="17"/>
          <w:szCs w:val="17"/>
        </w:rPr>
        <w:t xml:space="preserve">Proposed workshops, time and what each </w:t>
      </w:r>
      <w:r w:rsidR="00692212">
        <w:rPr>
          <w:color w:val="595959"/>
          <w:sz w:val="17"/>
          <w:szCs w:val="17"/>
        </w:rPr>
        <w:t>cover</w:t>
      </w:r>
      <w:r>
        <w:rPr>
          <w:color w:val="595959"/>
          <w:sz w:val="17"/>
          <w:szCs w:val="17"/>
        </w:rPr>
        <w:t xml:space="preserve"> · prepared by Vertical Relevance for Parametric</w:t>
      </w:r>
    </w:p>
    <w:p w14:paraId="1AF90D71" w14:textId="77777777" w:rsidR="00E13AAF" w:rsidRDefault="00000000">
      <w:pPr>
        <w:spacing w:before="40" w:after="60"/>
      </w:pPr>
      <w:r>
        <w:rPr>
          <w:b/>
          <w:color w:val="1F3864"/>
        </w:rPr>
        <w:t>Purpose of this note</w:t>
      </w:r>
    </w:p>
    <w:p w14:paraId="5F856770" w14:textId="7F19C373" w:rsidR="00E13AAF" w:rsidRDefault="00000000">
      <w:pPr>
        <w:spacing w:after="80"/>
      </w:pPr>
      <w:r>
        <w:rPr>
          <w:sz w:val="20"/>
          <w:szCs w:val="20"/>
        </w:rPr>
        <w:t xml:space="preserve">Ahead of the discovery pre-engagement, this note sets out the workshops we propose, the SME time we'd ask for, and what each session covers — so your team can see what's involved and we can </w:t>
      </w:r>
      <w:r w:rsidR="00692212">
        <w:rPr>
          <w:sz w:val="20"/>
          <w:szCs w:val="20"/>
        </w:rPr>
        <w:t>agree to</w:t>
      </w:r>
      <w:r>
        <w:rPr>
          <w:sz w:val="20"/>
          <w:szCs w:val="20"/>
        </w:rPr>
        <w:t xml:space="preserve"> a schedule that works for you. Times are estimates; how you split or combine sessions is entirely your call.</w:t>
      </w:r>
    </w:p>
    <w:p w14:paraId="1BDE2728" w14:textId="77777777" w:rsidR="00E13AAF" w:rsidRDefault="00000000">
      <w:pPr>
        <w:spacing w:before="180" w:after="60"/>
      </w:pPr>
      <w:r>
        <w:rPr>
          <w:b/>
          <w:color w:val="1F3864"/>
        </w:rPr>
        <w:t>At a glance</w:t>
      </w:r>
    </w:p>
    <w:p w14:paraId="3490D97D" w14:textId="77777777" w:rsidR="00E13AAF" w:rsidRDefault="00000000">
      <w:pPr>
        <w:numPr>
          <w:ilvl w:val="0"/>
          <w:numId w:val="1"/>
        </w:numPr>
        <w:spacing w:after="50"/>
      </w:pPr>
      <w:r>
        <w:rPr>
          <w:b/>
          <w:sz w:val="20"/>
          <w:szCs w:val="20"/>
        </w:rPr>
        <w:t xml:space="preserve">6 working sessions </w:t>
      </w:r>
      <w:r>
        <w:rPr>
          <w:sz w:val="20"/>
          <w:szCs w:val="20"/>
        </w:rPr>
        <w:t>over the pre-engagement — plus a short RACI alignment (~15 min) folded into the first session, not a separate workshop.</w:t>
      </w:r>
    </w:p>
    <w:p w14:paraId="33F44D7A" w14:textId="77777777" w:rsidR="00E13AAF" w:rsidRDefault="00000000">
      <w:pPr>
        <w:numPr>
          <w:ilvl w:val="0"/>
          <w:numId w:val="1"/>
        </w:numPr>
        <w:spacing w:after="50"/>
      </w:pPr>
      <w:r>
        <w:rPr>
          <w:b/>
          <w:sz w:val="20"/>
          <w:szCs w:val="20"/>
        </w:rPr>
        <w:t xml:space="preserve">We start with the Application Portfolio Review </w:t>
      </w:r>
      <w:r>
        <w:rPr>
          <w:sz w:val="20"/>
          <w:szCs w:val="20"/>
        </w:rPr>
        <w:t>— it gives us the fullest picture fastest and shapes everything after.</w:t>
      </w:r>
    </w:p>
    <w:p w14:paraId="3E4D1C95" w14:textId="77777777" w:rsidR="00E13AAF" w:rsidRDefault="00000000">
      <w:pPr>
        <w:numPr>
          <w:ilvl w:val="0"/>
          <w:numId w:val="1"/>
        </w:numPr>
        <w:spacing w:after="50"/>
      </w:pPr>
      <w:r>
        <w:rPr>
          <w:b/>
          <w:sz w:val="20"/>
          <w:szCs w:val="20"/>
        </w:rPr>
        <w:t xml:space="preserve">Estimated SME time: ~20–22 hours total </w:t>
      </w:r>
      <w:r>
        <w:rPr>
          <w:sz w:val="20"/>
          <w:szCs w:val="20"/>
        </w:rPr>
        <w:t>across the pre-engagement (to confirm with you).</w:t>
      </w:r>
    </w:p>
    <w:p w14:paraId="2F4E631C" w14:textId="77777777" w:rsidR="00E13AAF" w:rsidRDefault="00000000">
      <w:pPr>
        <w:numPr>
          <w:ilvl w:val="0"/>
          <w:numId w:val="1"/>
        </w:numPr>
        <w:spacing w:after="50"/>
      </w:pPr>
      <w:r>
        <w:rPr>
          <w:b/>
          <w:sz w:val="20"/>
          <w:szCs w:val="20"/>
        </w:rPr>
        <w:t xml:space="preserve">Core questions are worked live in-session; </w:t>
      </w:r>
      <w:r>
        <w:rPr>
          <w:sz w:val="20"/>
          <w:szCs w:val="20"/>
        </w:rPr>
        <w:t>more detailed items we share ahead of time to pre-fill, so sessions stay focused.</w:t>
      </w:r>
    </w:p>
    <w:p w14:paraId="6D3D00FC" w14:textId="77777777" w:rsidR="00E13AAF" w:rsidRDefault="00000000">
      <w:pPr>
        <w:spacing w:before="180" w:after="60"/>
      </w:pPr>
      <w:r>
        <w:rPr>
          <w:b/>
          <w:color w:val="1F3864"/>
        </w:rPr>
        <w:t>Proposed workshops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4400"/>
        <w:gridCol w:w="2600"/>
      </w:tblGrid>
      <w:tr w:rsidR="00E13AAF" w14:paraId="7C9B3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</w:tcPr>
          <w:p w14:paraId="585BBF41" w14:textId="77777777" w:rsidR="00E13AAF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Workshop</w:t>
            </w:r>
          </w:p>
        </w:tc>
        <w:tc>
          <w:tcPr>
            <w:tcW w:w="1200" w:type="dxa"/>
            <w:shd w:val="clear" w:color="auto" w:fill="1F3864"/>
          </w:tcPr>
          <w:p w14:paraId="52C4F641" w14:textId="77777777" w:rsidR="00E13AAF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Est. time</w:t>
            </w:r>
          </w:p>
        </w:tc>
        <w:tc>
          <w:tcPr>
            <w:tcW w:w="4400" w:type="dxa"/>
            <w:shd w:val="clear" w:color="auto" w:fill="1F3864"/>
          </w:tcPr>
          <w:p w14:paraId="69280D0D" w14:textId="77777777" w:rsidR="00E13AAF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What we cover</w:t>
            </w:r>
          </w:p>
        </w:tc>
        <w:tc>
          <w:tcPr>
            <w:tcW w:w="2600" w:type="dxa"/>
            <w:shd w:val="clear" w:color="auto" w:fill="1F3864"/>
          </w:tcPr>
          <w:p w14:paraId="4089AC13" w14:textId="77777777" w:rsidR="00E13AAF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Who to involve</w:t>
            </w:r>
          </w:p>
        </w:tc>
      </w:tr>
      <w:tr w:rsidR="00E13AAF" w14:paraId="7C91F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3A56BC" w14:textId="4023A1F7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 xml:space="preserve">1. </w:t>
            </w:r>
            <w:r w:rsidR="00837C01" w:rsidRPr="00837C01">
              <w:rPr>
                <w:b/>
                <w:color w:val="1F3864"/>
                <w:sz w:val="18"/>
                <w:szCs w:val="18"/>
              </w:rPr>
              <w:t>High-Level Application Portfolio Review</w:t>
            </w:r>
            <w:r w:rsidR="00837C01">
              <w:rPr>
                <w:b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color w:val="1F3864"/>
                <w:sz w:val="18"/>
                <w:szCs w:val="18"/>
              </w:rPr>
              <w:t xml:space="preserve">(+ </w:t>
            </w:r>
            <w:r w:rsidR="00837C01">
              <w:rPr>
                <w:b/>
                <w:color w:val="1F3864"/>
                <w:sz w:val="18"/>
                <w:szCs w:val="18"/>
              </w:rPr>
              <w:t xml:space="preserve">get the </w:t>
            </w:r>
            <w:r>
              <w:rPr>
                <w:b/>
                <w:color w:val="1F3864"/>
                <w:sz w:val="18"/>
                <w:szCs w:val="18"/>
              </w:rPr>
              <w:t xml:space="preserve">RACI </w:t>
            </w:r>
            <w:r w:rsidR="00692212">
              <w:rPr>
                <w:b/>
                <w:color w:val="1F3864"/>
                <w:sz w:val="18"/>
                <w:szCs w:val="18"/>
              </w:rPr>
              <w:t>alignment)</w:t>
            </w:r>
          </w:p>
        </w:tc>
        <w:tc>
          <w:tcPr>
            <w:tcW w:w="1200" w:type="dxa"/>
          </w:tcPr>
          <w:p w14:paraId="7E1E5FB5" w14:textId="3A492AAE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4–6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6E4A94CB" w14:textId="42C46D10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The four apps (SMAP, IPORT, IMAT, .com): business context, architecture, dependencies, integrations, HA/DR, performance. </w:t>
            </w:r>
            <w:r w:rsidR="00692212">
              <w:rPr>
                <w:color w:val="333333"/>
                <w:sz w:val="18"/>
                <w:szCs w:val="18"/>
              </w:rPr>
              <w:t>Plus,</w:t>
            </w:r>
            <w:r>
              <w:rPr>
                <w:color w:val="333333"/>
                <w:sz w:val="18"/>
                <w:szCs w:val="18"/>
              </w:rPr>
              <w:t xml:space="preserve"> RACI </w:t>
            </w:r>
            <w:r w:rsidR="00692212">
              <w:rPr>
                <w:color w:val="333333"/>
                <w:sz w:val="18"/>
                <w:szCs w:val="18"/>
              </w:rPr>
              <w:t>checks</w:t>
            </w:r>
            <w:r>
              <w:rPr>
                <w:color w:val="333333"/>
                <w:sz w:val="18"/>
                <w:szCs w:val="18"/>
              </w:rPr>
              <w:t xml:space="preserve"> who owns what and who approves.</w:t>
            </w:r>
          </w:p>
        </w:tc>
        <w:tc>
          <w:tcPr>
            <w:tcW w:w="2600" w:type="dxa"/>
          </w:tcPr>
          <w:p w14:paraId="3E3B1B45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App owners / leads (per app), + architects</w:t>
            </w:r>
          </w:p>
        </w:tc>
      </w:tr>
      <w:tr w:rsidR="00E13AAF" w14:paraId="006ED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194FB8" w14:textId="49973E0C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>2. AWS Landing Zone &amp; Shared Infrastructure</w:t>
            </w:r>
            <w:r w:rsidR="00837C01">
              <w:rPr>
                <w:b/>
                <w:color w:val="1F3864"/>
                <w:sz w:val="18"/>
                <w:szCs w:val="18"/>
              </w:rPr>
              <w:t xml:space="preserve"> Foundation</w:t>
            </w:r>
          </w:p>
        </w:tc>
        <w:tc>
          <w:tcPr>
            <w:tcW w:w="1200" w:type="dxa"/>
          </w:tcPr>
          <w:p w14:paraId="1413F56D" w14:textId="683A2B0B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3–4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5CBB172F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The shared foundation: networking, security, IAM/identity, observability, and hybrid connectivity to on-prem. This is what every app depends on before it can move.</w:t>
            </w:r>
          </w:p>
        </w:tc>
        <w:tc>
          <w:tcPr>
            <w:tcW w:w="2600" w:type="dxa"/>
          </w:tcPr>
          <w:p w14:paraId="107555F2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Platform / networking / IAM owners</w:t>
            </w:r>
          </w:p>
        </w:tc>
      </w:tr>
      <w:tr w:rsidR="00E13AAF" w14:paraId="79B05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71975" w14:textId="4FE0C311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 xml:space="preserve">3. Data </w:t>
            </w:r>
            <w:r w:rsidR="00837C01">
              <w:rPr>
                <w:b/>
                <w:color w:val="1F3864"/>
                <w:sz w:val="18"/>
                <w:szCs w:val="18"/>
              </w:rPr>
              <w:t>/</w:t>
            </w:r>
            <w:r>
              <w:rPr>
                <w:b/>
                <w:color w:val="1F3864"/>
                <w:sz w:val="18"/>
                <w:szCs w:val="18"/>
              </w:rPr>
              <w:t xml:space="preserve"> Database Inventory Deep-Dive</w:t>
            </w:r>
          </w:p>
        </w:tc>
        <w:tc>
          <w:tcPr>
            <w:tcW w:w="1200" w:type="dxa"/>
          </w:tcPr>
          <w:p w14:paraId="31E866C9" w14:textId="2571BEA5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2–3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3BBC04B0" w14:textId="56300EA0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Databases and data: inventory, </w:t>
            </w:r>
            <w:r w:rsidR="00692212">
              <w:rPr>
                <w:color w:val="333333"/>
                <w:sz w:val="18"/>
                <w:szCs w:val="18"/>
              </w:rPr>
              <w:t>shared database</w:t>
            </w:r>
            <w:r>
              <w:rPr>
                <w:color w:val="333333"/>
                <w:sz w:val="18"/>
                <w:szCs w:val="18"/>
              </w:rPr>
              <w:t xml:space="preserve"> couplings, volumes, migration method (e.g. DMS), and validation/rollback. Confirms which apps are tied together by data.</w:t>
            </w:r>
          </w:p>
        </w:tc>
        <w:tc>
          <w:tcPr>
            <w:tcW w:w="2600" w:type="dxa"/>
          </w:tcPr>
          <w:p w14:paraId="370C9B58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DBAs + data-platform owners</w:t>
            </w:r>
          </w:p>
        </w:tc>
      </w:tr>
      <w:tr w:rsidR="00E13AAF" w14:paraId="6146C4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E42803" w14:textId="25F3BE23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>4. Application Dispositioning</w:t>
            </w:r>
            <w:r w:rsidR="00837C01">
              <w:rPr>
                <w:b/>
                <w:color w:val="1F3864"/>
                <w:sz w:val="18"/>
                <w:szCs w:val="18"/>
              </w:rPr>
              <w:t xml:space="preserve"> Framework</w:t>
            </w:r>
          </w:p>
        </w:tc>
        <w:tc>
          <w:tcPr>
            <w:tcW w:w="1200" w:type="dxa"/>
          </w:tcPr>
          <w:p w14:paraId="34E006AF" w14:textId="192F1BAB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1–2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116D2A57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How each app is treated (re-platform vs re-architect, etc.), constraints, compliance, licensing, and dependencies. Feeds directly into the wave sequencing.</w:t>
            </w:r>
          </w:p>
        </w:tc>
        <w:tc>
          <w:tcPr>
            <w:tcW w:w="2600" w:type="dxa"/>
          </w:tcPr>
          <w:p w14:paraId="23FDF904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Architecture + disposition approvers</w:t>
            </w:r>
          </w:p>
        </w:tc>
      </w:tr>
      <w:tr w:rsidR="00E13AAF" w14:paraId="4D809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F7D437" w14:textId="14FC61C6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>5. Service Onboarding</w:t>
            </w:r>
            <w:r w:rsidR="00837C01">
              <w:rPr>
                <w:b/>
                <w:color w:val="1F3864"/>
                <w:sz w:val="18"/>
                <w:szCs w:val="18"/>
              </w:rPr>
              <w:t xml:space="preserve"> Framework</w:t>
            </w:r>
          </w:p>
        </w:tc>
        <w:tc>
          <w:tcPr>
            <w:tcW w:w="1200" w:type="dxa"/>
          </w:tcPr>
          <w:p w14:paraId="28953E97" w14:textId="6C2AEACA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1–2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008EDD08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How services get onboarded to AWS — process, approvals, lead times, and CI/CD — so the schedule reflects real gates.</w:t>
            </w:r>
          </w:p>
        </w:tc>
        <w:tc>
          <w:tcPr>
            <w:tcW w:w="2600" w:type="dxa"/>
          </w:tcPr>
          <w:p w14:paraId="03C23BE6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Service-onboarding + SecArch reps</w:t>
            </w:r>
          </w:p>
        </w:tc>
      </w:tr>
      <w:tr w:rsidR="00E13AAF" w14:paraId="22CB91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A543A0E" w14:textId="729EF996" w:rsidR="00E13AAF" w:rsidRDefault="00000000">
            <w:pPr>
              <w:spacing w:before="20" w:after="20"/>
            </w:pPr>
            <w:r>
              <w:rPr>
                <w:b/>
                <w:color w:val="1F3864"/>
                <w:sz w:val="18"/>
                <w:szCs w:val="18"/>
              </w:rPr>
              <w:t xml:space="preserve">6. Program Roadmap </w:t>
            </w:r>
            <w:r w:rsidR="00837C01">
              <w:rPr>
                <w:b/>
                <w:color w:val="1F3864"/>
                <w:sz w:val="18"/>
                <w:szCs w:val="18"/>
              </w:rPr>
              <w:t>/</w:t>
            </w:r>
            <w:r>
              <w:rPr>
                <w:b/>
                <w:color w:val="1F3864"/>
                <w:sz w:val="18"/>
                <w:szCs w:val="18"/>
              </w:rPr>
              <w:t xml:space="preserve"> Wave Plan</w:t>
            </w:r>
          </w:p>
        </w:tc>
        <w:tc>
          <w:tcPr>
            <w:tcW w:w="1200" w:type="dxa"/>
          </w:tcPr>
          <w:p w14:paraId="6C44188E" w14:textId="7047CC3D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1–2 </w:t>
            </w:r>
            <w:r w:rsidR="00692212">
              <w:rPr>
                <w:color w:val="333333"/>
                <w:sz w:val="18"/>
                <w:szCs w:val="18"/>
              </w:rPr>
              <w:t>hrs.</w:t>
            </w:r>
          </w:p>
        </w:tc>
        <w:tc>
          <w:tcPr>
            <w:tcW w:w="4400" w:type="dxa"/>
          </w:tcPr>
          <w:p w14:paraId="0B6EE7E4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The collaborative session: we bring a draft wave plan derived from everything captured, and confirm it with you — move groups, sequencing, pilot, prerequisites, cutover and wave gates.</w:t>
            </w:r>
          </w:p>
        </w:tc>
        <w:tc>
          <w:tcPr>
            <w:tcW w:w="2600" w:type="dxa"/>
          </w:tcPr>
          <w:p w14:paraId="38C2C34F" w14:textId="77777777" w:rsidR="00E13AAF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Leads + decision owners (Parametric / MS / AWS)</w:t>
            </w:r>
          </w:p>
        </w:tc>
      </w:tr>
    </w:tbl>
    <w:p w14:paraId="769419DC" w14:textId="77777777" w:rsidR="00E13AAF" w:rsidRDefault="00E13AAF">
      <w:pPr>
        <w:spacing w:after="60"/>
      </w:pPr>
    </w:p>
    <w:p w14:paraId="4E23B908" w14:textId="26B49E92" w:rsidR="00E13AAF" w:rsidRDefault="00000000" w:rsidP="00692212">
      <w:pPr>
        <w:numPr>
          <w:ilvl w:val="0"/>
          <w:numId w:val="1"/>
        </w:numPr>
        <w:spacing w:after="50"/>
      </w:pPr>
      <w:r w:rsidRPr="00837C01">
        <w:rPr>
          <w:b/>
          <w:sz w:val="20"/>
          <w:szCs w:val="20"/>
        </w:rPr>
        <w:t>Program Roadmap &amp; Wave Plan is the culmination</w:t>
      </w:r>
      <w:r w:rsidRPr="00837C01">
        <w:rPr>
          <w:b/>
          <w:color w:val="C00000"/>
          <w:sz w:val="20"/>
          <w:szCs w:val="20"/>
        </w:rPr>
        <w:t xml:space="preserve">: </w:t>
      </w:r>
      <w:r w:rsidRPr="00837C01">
        <w:rPr>
          <w:sz w:val="20"/>
          <w:szCs w:val="20"/>
        </w:rPr>
        <w:t xml:space="preserve">the dependencies and dispositions from the earlier sessions come together into a draft wave plan, which we validate </w:t>
      </w:r>
      <w:r w:rsidR="00837C01" w:rsidRPr="00837C01">
        <w:rPr>
          <w:sz w:val="20"/>
          <w:szCs w:val="20"/>
        </w:rPr>
        <w:t xml:space="preserve">with </w:t>
      </w:r>
      <w:r w:rsidRPr="00837C01">
        <w:rPr>
          <w:sz w:val="20"/>
          <w:szCs w:val="20"/>
        </w:rPr>
        <w:t>your team. It depends on the sessions before it</w:t>
      </w:r>
      <w:r w:rsidR="00837C01">
        <w:rPr>
          <w:sz w:val="20"/>
          <w:szCs w:val="20"/>
        </w:rPr>
        <w:t>.</w:t>
      </w:r>
    </w:p>
    <w:sectPr w:rsidR="00E13AA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61D6"/>
    <w:multiLevelType w:val="multilevel"/>
    <w:tmpl w:val="3368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28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AAF"/>
    <w:rsid w:val="00692212"/>
    <w:rsid w:val="008206E8"/>
    <w:rsid w:val="00837C01"/>
    <w:rsid w:val="00E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C37C"/>
  <w15:docId w15:val="{45169997-8F9A-4E70-8002-6F13FFD6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442</Words>
  <Characters>2317</Characters>
  <Application>Microsoft Office Word</Application>
  <DocSecurity>0</DocSecurity>
  <Lines>62</Lines>
  <Paragraphs>43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Roopesh Das</cp:lastModifiedBy>
  <cp:revision>3</cp:revision>
  <dcterms:created xsi:type="dcterms:W3CDTF">2026-10-05T19:01:00Z</dcterms:created>
  <dcterms:modified xsi:type="dcterms:W3CDTF">2026-10-05T19:13:00Z</dcterms:modified>
</cp:coreProperties>
</file>