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FF93" w14:textId="77777777" w:rsidR="00503EDA" w:rsidRDefault="00503EDA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</w:t>
      </w:r>
      <w:r>
        <w:rPr>
          <w:b/>
          <w:bCs/>
          <w:noProof/>
          <w:color w:val="212C42"/>
          <w:spacing w:val="55"/>
          <w:sz w:val="42"/>
          <w:szCs w:val="42"/>
        </w:rPr>
        <w:drawing>
          <wp:inline distT="0" distB="0" distL="0" distR="0" wp14:anchorId="69226D35" wp14:editId="2EC09617">
            <wp:extent cx="2011017" cy="601980"/>
            <wp:effectExtent l="0" t="0" r="0" b="7620"/>
            <wp:docPr id="1944540879" name="Picture 1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0879" name="Picture 19" descr="A black background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72" cy="6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12C42"/>
          <w:spacing w:val="55"/>
          <w:sz w:val="42"/>
          <w:szCs w:val="42"/>
        </w:rPr>
        <w:t xml:space="preserve">          </w:t>
      </w:r>
    </w:p>
    <w:p w14:paraId="4B0B284A" w14:textId="77777777" w:rsidR="00096B8E" w:rsidRDefault="00503EDA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 xml:space="preserve">                  </w:t>
      </w:r>
    </w:p>
    <w:p w14:paraId="01661BA4" w14:textId="77777777" w:rsidR="00096B8E" w:rsidRDefault="00096B8E" w:rsidP="00503EDA">
      <w:pPr>
        <w:widowControl w:val="0"/>
        <w:spacing w:line="240" w:lineRule="auto"/>
        <w:ind w:right="-20"/>
        <w:rPr>
          <w:b/>
          <w:bCs/>
          <w:color w:val="212C42"/>
          <w:spacing w:val="55"/>
          <w:sz w:val="42"/>
          <w:szCs w:val="42"/>
        </w:rPr>
      </w:pPr>
    </w:p>
    <w:p w14:paraId="3B35688D" w14:textId="06157CEC" w:rsidR="00496B51" w:rsidRDefault="00096B8E" w:rsidP="00096B8E">
      <w:pPr>
        <w:widowControl w:val="0"/>
        <w:spacing w:line="240" w:lineRule="auto"/>
        <w:ind w:left="2160" w:right="-20" w:firstLine="720"/>
        <w:rPr>
          <w:b/>
          <w:bCs/>
          <w:color w:val="212C42"/>
          <w:spacing w:val="49"/>
          <w:sz w:val="42"/>
          <w:szCs w:val="42"/>
        </w:rPr>
      </w:pPr>
      <w:r>
        <w:rPr>
          <w:b/>
          <w:bCs/>
          <w:color w:val="212C42"/>
          <w:spacing w:val="55"/>
          <w:sz w:val="42"/>
          <w:szCs w:val="42"/>
        </w:rPr>
        <w:t>Consumer Homeowner</w:t>
      </w:r>
      <w:r w:rsidR="00503EDA">
        <w:rPr>
          <w:b/>
          <w:bCs/>
          <w:color w:val="212C42"/>
          <w:spacing w:val="55"/>
          <w:sz w:val="42"/>
          <w:szCs w:val="42"/>
        </w:rPr>
        <w:t xml:space="preserve"> </w:t>
      </w:r>
      <w:r w:rsidR="00000000">
        <w:rPr>
          <w:b/>
          <w:bCs/>
          <w:color w:val="212C42"/>
          <w:spacing w:val="55"/>
          <w:sz w:val="42"/>
          <w:szCs w:val="42"/>
        </w:rPr>
        <w:t>Data</w:t>
      </w:r>
      <w:r w:rsidR="00000000">
        <w:rPr>
          <w:b/>
          <w:bCs/>
          <w:color w:val="212C42"/>
          <w:spacing w:val="24"/>
          <w:sz w:val="42"/>
          <w:szCs w:val="42"/>
        </w:rPr>
        <w:t xml:space="preserve"> </w:t>
      </w:r>
      <w:r w:rsidR="00000000">
        <w:rPr>
          <w:b/>
          <w:bCs/>
          <w:color w:val="212C42"/>
          <w:spacing w:val="48"/>
          <w:sz w:val="42"/>
          <w:szCs w:val="42"/>
        </w:rPr>
        <w:t>Di</w:t>
      </w:r>
      <w:r w:rsidR="00000000">
        <w:rPr>
          <w:b/>
          <w:bCs/>
          <w:color w:val="212C42"/>
          <w:spacing w:val="53"/>
          <w:sz w:val="42"/>
          <w:szCs w:val="42"/>
        </w:rPr>
        <w:t>c</w:t>
      </w:r>
      <w:r>
        <w:rPr>
          <w:b/>
          <w:bCs/>
          <w:color w:val="212C42"/>
          <w:spacing w:val="49"/>
          <w:sz w:val="42"/>
          <w:szCs w:val="42"/>
        </w:rPr>
        <w:t>tionary</w:t>
      </w:r>
    </w:p>
    <w:p w14:paraId="0AF8AF36" w14:textId="591EBD48" w:rsidR="00496B51" w:rsidRDefault="00496B51" w:rsidP="00096B8E">
      <w:pPr>
        <w:spacing w:line="240" w:lineRule="exact"/>
        <w:rPr>
          <w:spacing w:val="49"/>
          <w:sz w:val="24"/>
          <w:szCs w:val="24"/>
        </w:rPr>
      </w:pPr>
    </w:p>
    <w:p w14:paraId="5C24E9AF" w14:textId="77777777" w:rsidR="00096B8E" w:rsidRDefault="00096B8E" w:rsidP="00096B8E">
      <w:pPr>
        <w:spacing w:after="43" w:line="240" w:lineRule="exact"/>
      </w:pPr>
      <w:proofErr w:type="gramStart"/>
      <w:r>
        <w:t>Gender :</w:t>
      </w:r>
      <w:proofErr w:type="gramEnd"/>
      <w:r>
        <w:t xml:space="preserve">- (1) Male (2) female Self-explanatory field Marital </w:t>
      </w:r>
      <w:proofErr w:type="gramStart"/>
      <w:r>
        <w:t>Status :</w:t>
      </w:r>
      <w:proofErr w:type="gramEnd"/>
      <w:r>
        <w:t xml:space="preserve">- (1) Single (2) Married Self-explanatory field Age group Age group of the individual Credit Rating Definition Excellent Excellent-Inferred credit rating of an individual serves as an indicator of their borrowing and repayment capabilities, providing a broad basis for risk assessment by lending institutions. </w:t>
      </w:r>
    </w:p>
    <w:p w14:paraId="38AFC32F" w14:textId="77777777" w:rsidR="00096B8E" w:rsidRDefault="00096B8E" w:rsidP="00096B8E">
      <w:pPr>
        <w:spacing w:after="43" w:line="240" w:lineRule="exact"/>
      </w:pPr>
    </w:p>
    <w:p w14:paraId="26D9F5F3" w14:textId="77777777" w:rsidR="00096B8E" w:rsidRDefault="00096B8E" w:rsidP="00096B8E">
      <w:pPr>
        <w:spacing w:after="43" w:line="240" w:lineRule="exact"/>
      </w:pPr>
      <w:r>
        <w:t xml:space="preserve">Good </w:t>
      </w:r>
      <w:proofErr w:type="spellStart"/>
      <w:r>
        <w:t>Good</w:t>
      </w:r>
      <w:proofErr w:type="spellEnd"/>
      <w:r>
        <w:t xml:space="preserve"> -Inferred credit rating of an individual serves as an indicator of their borrowing and repayment capabilities, providing a broad basis for risk assessment by lending institutions. Fair Fair-Inferred credit rating of an individual serves as an indicator of their borrowing and repayment capabilities, providing a broad basis for risk assessment by lending institutions. </w:t>
      </w:r>
    </w:p>
    <w:p w14:paraId="7F62607A" w14:textId="77777777" w:rsidR="00096B8E" w:rsidRDefault="00096B8E" w:rsidP="00096B8E">
      <w:pPr>
        <w:spacing w:after="43" w:line="240" w:lineRule="exact"/>
      </w:pPr>
    </w:p>
    <w:p w14:paraId="04E9A6D8" w14:textId="7C1C1B8F" w:rsidR="00096B8E" w:rsidRDefault="00096B8E" w:rsidP="00096B8E">
      <w:pPr>
        <w:spacing w:after="43" w:line="240" w:lineRule="exact"/>
      </w:pPr>
      <w:r>
        <w:t xml:space="preserve">Poor-Inferred credit rating of an individual serves as an indicator of their borrowing and repayment capabilities, providing a broad basis for risk assessment by lending institutions. Bad Bad-Inferred credit rating of an individual serves as an indicator of their borrowing and repayment capabilities, providing a broad basis for risk assessment by lending institutions. </w:t>
      </w:r>
    </w:p>
    <w:p w14:paraId="5F1D83D6" w14:textId="77777777" w:rsidR="00096B8E" w:rsidRDefault="00096B8E" w:rsidP="00096B8E">
      <w:pPr>
        <w:spacing w:after="43" w:line="240" w:lineRule="exact"/>
      </w:pPr>
    </w:p>
    <w:p w14:paraId="1A54596C" w14:textId="12B2596E" w:rsidR="00496B51" w:rsidRDefault="00096B8E" w:rsidP="00096B8E">
      <w:pPr>
        <w:spacing w:after="43" w:line="240" w:lineRule="exact"/>
      </w:pPr>
      <w:r>
        <w:t xml:space="preserve">Kindly be aware that the credit rating segment is a data-driven modeled value and should not be utilized for credit or financial decisions. Its purpose is to enhance marketing audience selection. Occupation </w:t>
      </w:r>
      <w:proofErr w:type="spellStart"/>
      <w:r>
        <w:t>Occupation</w:t>
      </w:r>
      <w:proofErr w:type="spellEnd"/>
      <w:r>
        <w:t xml:space="preserve"> of the Individual </w:t>
      </w:r>
      <w:proofErr w:type="spellStart"/>
      <w:r>
        <w:t>Ethinic</w:t>
      </w:r>
      <w:proofErr w:type="spellEnd"/>
      <w:r>
        <w:t xml:space="preserve"> Code Ethnicity: The modeled data point is analyzed and created by using first and last names, as well as prefixes and suffixes in surnames. It identifies ethnicity with 65% to 75% accuracy</w:t>
      </w:r>
    </w:p>
    <w:p w14:paraId="66C4EE47" w14:textId="585FF87C" w:rsidR="00096B8E" w:rsidRDefault="00096B8E" w:rsidP="00096B8E">
      <w:pPr>
        <w:spacing w:after="43" w:line="240" w:lineRule="exact"/>
        <w:rPr>
          <w:rFonts w:ascii="Arial" w:eastAsia="Arial" w:hAnsi="Arial" w:cs="Arial"/>
          <w:color w:val="000000"/>
          <w:w w:val="106"/>
          <w:sz w:val="11"/>
          <w:szCs w:val="11"/>
        </w:rPr>
      </w:pPr>
    </w:p>
    <w:sectPr w:rsidR="00096B8E">
      <w:type w:val="continuous"/>
      <w:pgSz w:w="15840" w:h="12240" w:orient="landscape"/>
      <w:pgMar w:top="1478" w:right="1134" w:bottom="850" w:left="104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2372"/>
    <w:multiLevelType w:val="hybridMultilevel"/>
    <w:tmpl w:val="1292B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1"/>
    <w:rsid w:val="00096B8E"/>
    <w:rsid w:val="00496B51"/>
    <w:rsid w:val="00503EDA"/>
    <w:rsid w:val="006F24BB"/>
    <w:rsid w:val="00E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27EA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2025-08-13T20:57:00Z</dcterms:created>
  <dcterms:modified xsi:type="dcterms:W3CDTF">2025-08-13T20:57:00Z</dcterms:modified>
</cp:coreProperties>
</file>