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FF93" w14:textId="77777777" w:rsidR="00503EDA" w:rsidRDefault="00503EDA" w:rsidP="00503EDA">
      <w:pPr>
        <w:widowControl w:val="0"/>
        <w:spacing w:line="240" w:lineRule="auto"/>
        <w:ind w:right="-20"/>
        <w:rPr>
          <w:b/>
          <w:bCs/>
          <w:color w:val="212C42"/>
          <w:spacing w:val="55"/>
          <w:sz w:val="42"/>
          <w:szCs w:val="42"/>
        </w:rPr>
      </w:pPr>
      <w:r>
        <w:rPr>
          <w:b/>
          <w:bCs/>
          <w:color w:val="212C42"/>
          <w:spacing w:val="55"/>
          <w:sz w:val="42"/>
          <w:szCs w:val="42"/>
        </w:rPr>
        <w:t xml:space="preserve">    </w:t>
      </w:r>
      <w:r>
        <w:rPr>
          <w:b/>
          <w:bCs/>
          <w:noProof/>
          <w:color w:val="212C42"/>
          <w:spacing w:val="55"/>
          <w:sz w:val="42"/>
          <w:szCs w:val="42"/>
        </w:rPr>
        <w:drawing>
          <wp:inline distT="0" distB="0" distL="0" distR="0" wp14:anchorId="69226D35" wp14:editId="2EC09617">
            <wp:extent cx="2011017" cy="601980"/>
            <wp:effectExtent l="0" t="0" r="0" b="7620"/>
            <wp:docPr id="1944540879" name="Picture 1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40879" name="Picture 19" descr="A black background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72" cy="6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12C42"/>
          <w:spacing w:val="55"/>
          <w:sz w:val="42"/>
          <w:szCs w:val="42"/>
        </w:rPr>
        <w:t xml:space="preserve">          </w:t>
      </w:r>
    </w:p>
    <w:p w14:paraId="4B0B284A" w14:textId="77777777" w:rsidR="00096B8E" w:rsidRDefault="00503EDA" w:rsidP="00503EDA">
      <w:pPr>
        <w:widowControl w:val="0"/>
        <w:spacing w:line="240" w:lineRule="auto"/>
        <w:ind w:right="-20"/>
        <w:rPr>
          <w:b/>
          <w:bCs/>
          <w:color w:val="212C42"/>
          <w:spacing w:val="55"/>
          <w:sz w:val="42"/>
          <w:szCs w:val="42"/>
        </w:rPr>
      </w:pPr>
      <w:r>
        <w:rPr>
          <w:b/>
          <w:bCs/>
          <w:color w:val="212C42"/>
          <w:spacing w:val="55"/>
          <w:sz w:val="42"/>
          <w:szCs w:val="42"/>
        </w:rPr>
        <w:t xml:space="preserve">                  </w:t>
      </w:r>
    </w:p>
    <w:p w14:paraId="01661BA4" w14:textId="77777777" w:rsidR="00096B8E" w:rsidRDefault="00096B8E" w:rsidP="00503EDA">
      <w:pPr>
        <w:widowControl w:val="0"/>
        <w:spacing w:line="240" w:lineRule="auto"/>
        <w:ind w:right="-20"/>
        <w:rPr>
          <w:b/>
          <w:bCs/>
          <w:color w:val="212C42"/>
          <w:spacing w:val="55"/>
          <w:sz w:val="42"/>
          <w:szCs w:val="42"/>
        </w:rPr>
      </w:pPr>
    </w:p>
    <w:p w14:paraId="3B35688D" w14:textId="4EEACFBE" w:rsidR="00496B51" w:rsidRDefault="00326373" w:rsidP="00096B8E">
      <w:pPr>
        <w:widowControl w:val="0"/>
        <w:spacing w:line="240" w:lineRule="auto"/>
        <w:ind w:left="2160" w:right="-20" w:firstLine="720"/>
        <w:rPr>
          <w:b/>
          <w:bCs/>
          <w:color w:val="212C42"/>
          <w:spacing w:val="49"/>
          <w:sz w:val="42"/>
          <w:szCs w:val="42"/>
        </w:rPr>
      </w:pPr>
      <w:r>
        <w:rPr>
          <w:b/>
          <w:bCs/>
          <w:color w:val="212C42"/>
          <w:spacing w:val="55"/>
          <w:sz w:val="42"/>
          <w:szCs w:val="42"/>
        </w:rPr>
        <w:t xml:space="preserve">    Turning 65</w:t>
      </w:r>
      <w:r w:rsidR="00503EDA">
        <w:rPr>
          <w:b/>
          <w:bCs/>
          <w:color w:val="212C42"/>
          <w:spacing w:val="55"/>
          <w:sz w:val="42"/>
          <w:szCs w:val="42"/>
        </w:rPr>
        <w:t xml:space="preserve"> </w:t>
      </w:r>
      <w:r w:rsidR="00000000">
        <w:rPr>
          <w:b/>
          <w:bCs/>
          <w:color w:val="212C42"/>
          <w:spacing w:val="55"/>
          <w:sz w:val="42"/>
          <w:szCs w:val="42"/>
        </w:rPr>
        <w:t>Data</w:t>
      </w:r>
      <w:r w:rsidR="00000000">
        <w:rPr>
          <w:b/>
          <w:bCs/>
          <w:color w:val="212C42"/>
          <w:spacing w:val="24"/>
          <w:sz w:val="42"/>
          <w:szCs w:val="42"/>
        </w:rPr>
        <w:t xml:space="preserve"> </w:t>
      </w:r>
      <w:r w:rsidR="00000000">
        <w:rPr>
          <w:b/>
          <w:bCs/>
          <w:color w:val="212C42"/>
          <w:spacing w:val="48"/>
          <w:sz w:val="42"/>
          <w:szCs w:val="42"/>
        </w:rPr>
        <w:t>Di</w:t>
      </w:r>
      <w:r w:rsidR="00000000">
        <w:rPr>
          <w:b/>
          <w:bCs/>
          <w:color w:val="212C42"/>
          <w:spacing w:val="53"/>
          <w:sz w:val="42"/>
          <w:szCs w:val="42"/>
        </w:rPr>
        <w:t>c</w:t>
      </w:r>
      <w:r w:rsidR="00096B8E">
        <w:rPr>
          <w:b/>
          <w:bCs/>
          <w:color w:val="212C42"/>
          <w:spacing w:val="49"/>
          <w:sz w:val="42"/>
          <w:szCs w:val="42"/>
        </w:rPr>
        <w:t>tionary</w:t>
      </w:r>
    </w:p>
    <w:p w14:paraId="6166DD2F" w14:textId="335679DF" w:rsidR="00326373" w:rsidRDefault="00326373" w:rsidP="00096B8E">
      <w:pPr>
        <w:widowControl w:val="0"/>
        <w:spacing w:line="240" w:lineRule="auto"/>
        <w:ind w:left="2160" w:right="-20" w:firstLine="720"/>
        <w:rPr>
          <w:b/>
          <w:bCs/>
          <w:color w:val="212C42"/>
          <w:spacing w:val="49"/>
          <w:sz w:val="42"/>
          <w:szCs w:val="42"/>
        </w:rPr>
      </w:pPr>
    </w:p>
    <w:p w14:paraId="66C4EE47" w14:textId="04EF2C66" w:rsidR="00096B8E" w:rsidRPr="002F3726" w:rsidRDefault="00326373" w:rsidP="00326373">
      <w:pPr>
        <w:spacing w:line="240" w:lineRule="exact"/>
        <w:rPr>
          <w:rFonts w:ascii="Arial" w:eastAsia="Arial" w:hAnsi="Arial" w:cs="Arial"/>
          <w:color w:val="000000"/>
          <w:w w:val="106"/>
          <w:sz w:val="24"/>
          <w:szCs w:val="24"/>
        </w:rPr>
      </w:pPr>
      <w:r>
        <w:t xml:space="preserve">            </w:t>
      </w:r>
      <w:r>
        <w:t>Turning 65 Description &amp; Definition Select a Month and Year to target consumers who are likely turning 65 during that period.</w:t>
      </w:r>
    </w:p>
    <w:sectPr w:rsidR="00096B8E" w:rsidRPr="002F3726">
      <w:type w:val="continuous"/>
      <w:pgSz w:w="15840" w:h="12240" w:orient="landscape"/>
      <w:pgMar w:top="1478" w:right="1134" w:bottom="850" w:left="104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2372"/>
    <w:multiLevelType w:val="hybridMultilevel"/>
    <w:tmpl w:val="1292B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51"/>
    <w:rsid w:val="00096B8E"/>
    <w:rsid w:val="002F3726"/>
    <w:rsid w:val="00326373"/>
    <w:rsid w:val="00496B51"/>
    <w:rsid w:val="00503EDA"/>
    <w:rsid w:val="006F24BB"/>
    <w:rsid w:val="00E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27EA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2</cp:revision>
  <dcterms:created xsi:type="dcterms:W3CDTF">2025-08-13T21:00:00Z</dcterms:created>
  <dcterms:modified xsi:type="dcterms:W3CDTF">2025-08-13T21:00:00Z</dcterms:modified>
</cp:coreProperties>
</file>