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E79"/>
          <w:sz w:val="40"/>
        </w:rPr>
        <w:t>AI-POWERED REVENUE FORECASTING AGENT SYSTEM</w:t>
      </w:r>
    </w:p>
    <w:p>
      <w:pPr>
        <w:jc w:val="center"/>
      </w:pPr>
      <w:r>
        <w:rPr>
          <w:rFonts w:ascii="Calibri" w:hAnsi="Calibri"/>
          <w:i/>
          <w:color w:val="2E74B5"/>
          <w:sz w:val="28"/>
        </w:rPr>
        <w:t>Mid-Year Review Report</w:t>
      </w:r>
    </w:p>
    <w:p/>
    <w:p>
      <w:pPr>
        <w:jc w:val="center"/>
      </w:pPr>
      <w:r>
        <w:rPr>
          <w:rFonts w:ascii="Calibri" w:hAnsi="Calibri"/>
          <w:b/>
          <w:sz w:val="24"/>
        </w:rPr>
        <w:t xml:space="preserve">Prepared by: </w:t>
      </w:r>
      <w:r>
        <w:rPr>
          <w:rFonts w:ascii="Calibri" w:hAnsi="Calibri"/>
          <w:sz w:val="24"/>
        </w:rPr>
        <w:t>Hariharan Balaji</w:t>
      </w:r>
    </w:p>
    <w:p>
      <w:pPr>
        <w:jc w:val="center"/>
      </w:pPr>
      <w:r>
        <w:rPr>
          <w:rFonts w:ascii="Calibri" w:hAnsi="Calibri"/>
          <w:b/>
          <w:sz w:val="24"/>
        </w:rPr>
        <w:t xml:space="preserve">Organization: </w:t>
      </w:r>
      <w:r>
        <w:rPr>
          <w:rFonts w:ascii="Calibri" w:hAnsi="Calibri"/>
          <w:sz w:val="24"/>
        </w:rPr>
        <w:t>o9 Solutions</w:t>
      </w:r>
    </w:p>
    <w:p>
      <w:pPr>
        <w:jc w:val="center"/>
      </w:pPr>
      <w:r>
        <w:rPr>
          <w:rFonts w:ascii="Calibri" w:hAnsi="Calibri"/>
          <w:b/>
          <w:sz w:val="24"/>
        </w:rPr>
        <w:t xml:space="preserve">Date: </w:t>
      </w:r>
      <w:r>
        <w:rPr>
          <w:rFonts w:ascii="Calibri" w:hAnsi="Calibri"/>
          <w:sz w:val="24"/>
        </w:rPr>
        <w:t>June 2026</w:t>
      </w:r>
    </w:p>
    <w:p>
      <w:r>
        <w:br w:type="page"/>
      </w:r>
    </w:p>
    <w:p>
      <w:pPr>
        <w:pStyle w:val="Heading1"/>
      </w:pPr>
      <w:r>
        <w:rPr>
          <w:rFonts w:ascii="Calibri" w:hAnsi="Calibri"/>
          <w:b/>
          <w:color w:val="1F4E79"/>
        </w:rPr>
        <w:t>ABSTRACT</w:t>
      </w:r>
    </w:p>
    <w:p>
      <w:pPr>
        <w:spacing w:after="160"/>
      </w:pPr>
      <w:r>
        <w:rPr>
          <w:rFonts w:ascii="Calibri" w:hAnsi="Calibri"/>
          <w:b w:val="0"/>
          <w:i w:val="0"/>
          <w:sz w:val="22"/>
        </w:rPr>
        <w:t>Revenue forecasting accuracy is a critical challenge in supply chain and retail planning. This project designs and develops an AI-powered agentic system capable of autonomously analyzing large-scale revenue data, generating time series forecasts, and evaluating forecast accuracy using industry-standard metrics.</w:t>
      </w:r>
    </w:p>
    <w:p>
      <w:pPr>
        <w:spacing w:after="160"/>
      </w:pPr>
      <w:r>
        <w:rPr>
          <w:rFonts w:ascii="Calibri" w:hAnsi="Calibri"/>
          <w:b w:val="0"/>
          <w:i w:val="0"/>
          <w:sz w:val="22"/>
        </w:rPr>
        <w:t>The system ingests a North America (NA) retail revenue dataset comprising 276,577 rows across 10 dimensions — including location, channel, product planning level, and monthly time periods spanning July 2021 to December 2025. Using a multi-agent orchestration framework built on the OpenAI Agent SDK, the system automatically identifies the forecast horizon start point (July 2024), trains forecasting models on historical statistical actuals, and generates forward-looking revenue projections.</w:t>
      </w:r>
    </w:p>
    <w:p>
      <w:pPr>
        <w:spacing w:after="160"/>
      </w:pPr>
      <w:r>
        <w:rPr>
          <w:rFonts w:ascii="Calibri" w:hAnsi="Calibri"/>
          <w:b w:val="0"/>
          <w:i w:val="0"/>
          <w:sz w:val="22"/>
        </w:rPr>
        <w:t>The forecasting engine employs Holt-Winters Exponential Smoothing with a damped trend component, with a fallback to Simple Moving Average when training data is insufficient. Forecast accuracy is measured using two complementary metrics: Mean Absolute Percentage Error (MAPE) and Weighted MAPE (WMAPE). WMAPE results from the existing Final Revenue Forecast stood at 12.49% for the United States of America and 35.4% for Canada, indicating good accuracy for the US market and a need for improvement in the Canada market. The comparison study confirms that the existing enterprise forecast outperforms the statistically generated baseline for both locations, providing a clear benchmark for future model improvement.</w:t>
      </w:r>
    </w:p>
    <w:p>
      <w:pPr>
        <w:spacing w:after="160"/>
      </w:pPr>
      <w:r>
        <w:rPr>
          <w:rFonts w:ascii="Calibri" w:hAnsi="Calibri"/>
          <w:b w:val="0"/>
          <w:i w:val="0"/>
          <w:sz w:val="22"/>
        </w:rPr>
        <w:t>The system's modular architecture supports extension to additional dimensions including channel-level and product-planning-level forecasting, and is designed to integrate into production planning workflows at o9 Solutions.</w:t>
      </w:r>
    </w:p>
    <w:p/>
    <w:tbl>
      <w:tblPr>
        <w:tblStyle w:val="TableGrid"/>
        <w:tblW w:type="auto" w:w="0"/>
        <w:tblLook w:firstColumn="1" w:firstRow="1" w:lastColumn="0" w:lastRow="0" w:noHBand="0" w:noVBand="1" w:val="04A0"/>
      </w:tblPr>
      <w:tblGrid>
        <w:gridCol w:w="4561"/>
        <w:gridCol w:w="4561"/>
      </w:tblGrid>
      <w:tr>
        <w:tc>
          <w:tcPr>
            <w:tcW w:type="dxa" w:w="4561"/>
          </w:tcPr>
          <w:p>
            <w:r>
              <w:rPr>
                <w:b/>
                <w:sz w:val="20"/>
              </w:rPr>
              <w:t>Signature of the Employee</w:t>
            </w:r>
          </w:p>
        </w:tc>
        <w:tc>
          <w:tcPr>
            <w:tcW w:type="dxa" w:w="4561"/>
          </w:tcPr>
          <w:p>
            <w:r>
              <w:rPr>
                <w:b/>
                <w:sz w:val="20"/>
              </w:rPr>
              <w:t>Signature of the Supervisor</w:t>
            </w:r>
          </w:p>
        </w:tc>
      </w:tr>
      <w:tr>
        <w:tc>
          <w:tcPr>
            <w:tcW w:type="dxa" w:w="4561"/>
          </w:tcPr>
          <w:p>
            <w:r>
              <w:rPr>
                <w:sz w:val="20"/>
              </w:rPr>
              <w:t>Name: Hariharan Balaji</w:t>
            </w:r>
          </w:p>
        </w:tc>
        <w:tc>
          <w:tcPr>
            <w:tcW w:type="dxa" w:w="4561"/>
          </w:tcPr>
          <w:p>
            <w:r>
              <w:rPr>
                <w:sz w:val="20"/>
              </w:rPr>
              <w:t>Name: ___________________</w:t>
            </w:r>
          </w:p>
        </w:tc>
      </w:tr>
      <w:tr>
        <w:tc>
          <w:tcPr>
            <w:tcW w:type="dxa" w:w="4561"/>
          </w:tcPr>
          <w:p>
            <w:r>
              <w:rPr>
                <w:sz w:val="20"/>
              </w:rPr>
              <w:t>Date: June 2026</w:t>
            </w:r>
          </w:p>
        </w:tc>
        <w:tc>
          <w:tcPr>
            <w:tcW w:type="dxa" w:w="4561"/>
          </w:tcPr>
          <w:p>
            <w:r>
              <w:rPr>
                <w:sz w:val="20"/>
              </w:rPr>
              <w:t>Date: ____________________</w:t>
            </w:r>
          </w:p>
        </w:tc>
      </w:tr>
      <w:tr>
        <w:tc>
          <w:tcPr>
            <w:tcW w:type="dxa" w:w="4561"/>
          </w:tcPr>
          <w:p>
            <w:r>
              <w:rPr>
                <w:sz w:val="20"/>
              </w:rPr>
              <w:t>Place: ________________</w:t>
            </w:r>
          </w:p>
        </w:tc>
        <w:tc>
          <w:tcPr>
            <w:tcW w:type="dxa" w:w="4561"/>
          </w:tcPr>
          <w:p>
            <w:r>
              <w:rPr>
                <w:sz w:val="20"/>
              </w:rPr>
              <w:t>Place: ___________________</w:t>
            </w:r>
          </w:p>
        </w:tc>
      </w:tr>
    </w:tbl>
    <w:p>
      <w:r>
        <w:br w:type="page"/>
      </w:r>
    </w:p>
    <w:p>
      <w:pPr>
        <w:pStyle w:val="Heading1"/>
      </w:pPr>
      <w:r>
        <w:rPr>
          <w:rFonts w:ascii="Calibri" w:hAnsi="Calibri"/>
          <w:b/>
          <w:color w:val="1F4E79"/>
        </w:rPr>
        <w:t>1. SYSTEM ARCHITECTURE &amp; MODULES</w:t>
      </w:r>
    </w:p>
    <w:p>
      <w:pPr>
        <w:spacing w:after="120"/>
      </w:pPr>
      <w:r>
        <w:rPr>
          <w:rFonts w:ascii="Calibri" w:hAnsi="Calibri"/>
          <w:b/>
          <w:i w:val="0"/>
          <w:sz w:val="22"/>
        </w:rPr>
        <w:t>The system is composed of the following major modules:</w:t>
      </w:r>
    </w:p>
    <w:p>
      <w:pPr>
        <w:pStyle w:val="ListBullet"/>
      </w:pPr>
      <w:r>
        <w:rPr>
          <w:sz w:val="22"/>
        </w:rPr>
        <w:t>(a) Data Ingestion &amp; Preparation Module</w:t>
      </w:r>
    </w:p>
    <w:p>
      <w:pPr>
        <w:pStyle w:val="ListBullet"/>
      </w:pPr>
      <w:r>
        <w:rPr>
          <w:sz w:val="22"/>
        </w:rPr>
        <w:t>(b) Forecast Horizon Identification Module</w:t>
      </w:r>
    </w:p>
    <w:p>
      <w:pPr>
        <w:pStyle w:val="ListBullet"/>
      </w:pPr>
      <w:r>
        <w:rPr>
          <w:sz w:val="22"/>
        </w:rPr>
        <w:t>(c) Time Series Forecasting Engine</w:t>
      </w:r>
    </w:p>
    <w:p>
      <w:pPr>
        <w:pStyle w:val="ListBullet"/>
      </w:pPr>
      <w:r>
        <w:rPr>
          <w:sz w:val="22"/>
        </w:rPr>
        <w:t>(d) MAPE / WMAPE Calculation Module</w:t>
      </w:r>
    </w:p>
    <w:p>
      <w:pPr>
        <w:pStyle w:val="ListBullet"/>
      </w:pPr>
      <w:r>
        <w:rPr>
          <w:sz w:val="22"/>
        </w:rPr>
        <w:t>(e) Forecast Comparison &amp; Recommendation Module</w:t>
      </w:r>
    </w:p>
    <w:p>
      <w:pPr>
        <w:pStyle w:val="ListBullet"/>
      </w:pPr>
      <w:r>
        <w:rPr>
          <w:sz w:val="22"/>
        </w:rPr>
        <w:t>(f) Multi-Agent Orchestration Layer</w:t>
      </w:r>
    </w:p>
    <w:p>
      <w:pPr>
        <w:pStyle w:val="ListBullet"/>
      </w:pPr>
      <w:r>
        <w:rPr>
          <w:sz w:val="22"/>
        </w:rPr>
        <w:t>(g) Output &amp; Reporting Module</w:t>
      </w:r>
    </w:p>
    <w:p/>
    <w:p>
      <w:pPr>
        <w:pStyle w:val="Heading2"/>
      </w:pPr>
      <w:r>
        <w:rPr>
          <w:rFonts w:ascii="Calibri" w:hAnsi="Calibri"/>
          <w:b/>
          <w:color w:val="2E74B5"/>
        </w:rPr>
        <w:t>Module Descriptions</w:t>
      </w:r>
    </w:p>
    <w:p>
      <w:pPr>
        <w:spacing w:after="200"/>
      </w:pPr>
      <w:r>
        <w:rPr>
          <w:b/>
          <w:color w:val="1F4E79"/>
          <w:sz w:val="22"/>
        </w:rPr>
        <w:t>a) Data Ingestion &amp; Preparation Module</w:t>
        <w:br/>
      </w:r>
      <w:r>
        <w:rPr>
          <w:sz w:val="22"/>
        </w:rPr>
        <w:t>Loads the source CSV file (Rev_NA.csv) containing 276,577 rows of North America retail revenue data. Parses the Time.[Retail Planning Month] column (format: Jul-21) into datetime objects, sorts records by location and time, and validates data completeness. The dataset covers 54 monthly periods, 75 sales channels, 250 product planning levels, and 2 locations (USA and Canada).</w:t>
      </w:r>
    </w:p>
    <w:p>
      <w:pPr>
        <w:spacing w:after="200"/>
      </w:pPr>
      <w:r>
        <w:rPr>
          <w:b/>
          <w:color w:val="1F4E79"/>
          <w:sz w:val="22"/>
        </w:rPr>
        <w:t>b) Forecast Horizon Identification Module</w:t>
        <w:br/>
      </w:r>
      <w:r>
        <w:rPr>
          <w:sz w:val="22"/>
        </w:rPr>
        <w:t>Automatically identifies the forecast start month for each location by detecting the first month where Final Revenue Forecast values are present. For both USA and Canada, this was determined to be July 2024. All data prior to this point is designated as the training window for model fitting.</w:t>
      </w:r>
    </w:p>
    <w:p>
      <w:pPr>
        <w:spacing w:after="200"/>
      </w:pPr>
      <w:r>
        <w:rPr>
          <w:b/>
          <w:color w:val="1F4E79"/>
          <w:sz w:val="22"/>
        </w:rPr>
        <w:t>c) Time Series Forecasting Engine</w:t>
        <w:br/>
      </w:r>
      <w:r>
        <w:rPr>
          <w:sz w:val="22"/>
        </w:rPr>
        <w:t>For each location, builds a time series model on historical Stat Actual Amt values prior to the forecast start month. The primary algorithm is Holt-Winters Exponential Smoothing with an additive damped trend, implemented via statsmodels. A Simple Moving Average (3-period window) serves as the fallback when training data is insufficient or the model fails to converge.</w:t>
      </w:r>
    </w:p>
    <w:p>
      <w:pPr>
        <w:spacing w:after="200"/>
      </w:pPr>
      <w:r>
        <w:rPr>
          <w:b/>
          <w:color w:val="1F4E79"/>
          <w:sz w:val="22"/>
        </w:rPr>
        <w:t>d) MAPE / WMAPE Calculation Module</w:t>
        <w:br/>
      </w:r>
      <w:r>
        <w:rPr>
          <w:sz w:val="22"/>
        </w:rPr>
        <w:t>Computes two forecast accuracy metrics:</w:t>
        <w:br/>
        <w:t xml:space="preserve">  MAPE (Mean Absolute Percentage Error): Simple average of absolute percentage errors across all periods where actuals exist.</w:t>
        <w:br/>
        <w:t xml:space="preserve">  WMAPE (Weighted MAPE): Weights each period's error by its actual value magnitude, reducing the influence of low-volume periods.</w:t>
        <w:br/>
        <w:t xml:space="preserve">  Formula: WMAPE = Σ|Actual − Forecast| / Σ|Actual| × 100</w:t>
        <w:br/>
        <w:t>Both metrics are computed at the Location.[Country] granularity.</w:t>
      </w:r>
    </w:p>
    <w:p>
      <w:pPr>
        <w:spacing w:after="200"/>
      </w:pPr>
      <w:r>
        <w:rPr>
          <w:b/>
          <w:color w:val="1F4E79"/>
          <w:sz w:val="22"/>
        </w:rPr>
        <w:t>e) Forecast Comparison &amp; Recommendation Module</w:t>
        <w:br/>
      </w:r>
      <w:r>
        <w:rPr>
          <w:sz w:val="22"/>
        </w:rPr>
        <w:t>Compares the MAPE/WMAPE of the system-generated forecast against the existing enterprise Final Revenue Forecast. Determines and outputs which forecast provides better accuracy (lower error) for each location, and issues a recommendation.</w:t>
      </w:r>
    </w:p>
    <w:p>
      <w:pPr>
        <w:spacing w:after="200"/>
      </w:pPr>
      <w:r>
        <w:rPr>
          <w:b/>
          <w:color w:val="1F4E79"/>
          <w:sz w:val="22"/>
        </w:rPr>
        <w:t>f) Multi-Agent Orchestration Layer</w:t>
        <w:br/>
      </w:r>
      <w:r>
        <w:rPr>
          <w:sz w:val="22"/>
        </w:rPr>
        <w:t>Built on the OpenAI Agent SDK, the orchestration layer coordinates specialized agents — including a Manager agent, a Data Analysis agent, an EDA agent, and a Code Execution agent — in a group-chat pattern. Each agent handles a discrete task, and the Manager routes tasks to the appropriate specialist.</w:t>
      </w:r>
    </w:p>
    <w:p>
      <w:pPr>
        <w:spacing w:after="200"/>
      </w:pPr>
      <w:r>
        <w:rPr>
          <w:b/>
          <w:color w:val="1F4E79"/>
          <w:sz w:val="22"/>
        </w:rPr>
        <w:t>g) Output &amp; Reporting Module</w:t>
        <w:br/>
      </w:r>
      <w:r>
        <w:rPr>
          <w:sz w:val="22"/>
        </w:rPr>
        <w:t>Produces structured outputs:</w:t>
        <w:br/>
        <w:t xml:space="preserve">  forecast_analysis.csv — MAPE comparison results per location</w:t>
        <w:br/>
        <w:t xml:space="preserve">  WMape_by_Location.csv — WMAPE results per location</w:t>
        <w:br/>
        <w:t xml:space="preserve">  forecast_summary.txt — Human-readable summary with methodology, results, and recommendation</w:t>
      </w:r>
    </w:p>
    <w:p>
      <w:r>
        <w:br w:type="page"/>
      </w:r>
    </w:p>
    <w:p>
      <w:pPr>
        <w:pStyle w:val="Heading1"/>
      </w:pPr>
      <w:r>
        <w:rPr>
          <w:rFonts w:ascii="Calibri" w:hAnsi="Calibri"/>
          <w:b/>
          <w:color w:val="1F4E79"/>
        </w:rPr>
        <w:t>2. FUNCTIONAL DESCRIPTION</w:t>
      </w:r>
    </w:p>
    <w:p>
      <w:pPr>
        <w:spacing w:after="120"/>
      </w:pPr>
      <w:r>
        <w:rPr>
          <w:rFonts w:ascii="Calibri" w:hAnsi="Calibri"/>
          <w:b/>
          <w:i w:val="0"/>
          <w:sz w:val="22"/>
        </w:rPr>
        <w:t>The end-to-end data flow is as follows:</w:t>
      </w:r>
    </w:p>
    <w:p>
      <w:pPr>
        <w:pStyle w:val="ListNumber"/>
      </w:pPr>
      <w:r>
        <w:rPr>
          <w:sz w:val="22"/>
        </w:rPr>
        <w:t>Input: Raw revenue CSV (Rev_NA.csv) with actuals, forecasts, and baseline forecasts across location, channel, product, and time dimensions.</w:t>
      </w:r>
    </w:p>
    <w:p>
      <w:pPr>
        <w:pStyle w:val="ListNumber"/>
      </w:pPr>
      <w:r>
        <w:rPr>
          <w:sz w:val="22"/>
        </w:rPr>
        <w:t>Preparation: Time parsing, sorting, and null handling applied. Data split by location.</w:t>
      </w:r>
    </w:p>
    <w:p>
      <w:pPr>
        <w:pStyle w:val="ListNumber"/>
      </w:pPr>
      <w:r>
        <w:rPr>
          <w:sz w:val="22"/>
        </w:rPr>
        <w:t>Training Window: For each location, all rows where Month &lt; Forecast_Start_Month form the training set.</w:t>
      </w:r>
    </w:p>
    <w:p>
      <w:pPr>
        <w:pStyle w:val="ListNumber"/>
      </w:pPr>
      <w:r>
        <w:rPr>
          <w:sz w:val="22"/>
        </w:rPr>
        <w:t>Model Fitting: Exponential Smoothing fitted on aggregated monthly Stat Actual Amt values.</w:t>
      </w:r>
    </w:p>
    <w:p>
      <w:pPr>
        <w:pStyle w:val="ListNumber"/>
      </w:pPr>
      <w:r>
        <w:rPr>
          <w:sz w:val="22"/>
        </w:rPr>
        <w:t>Forecast Generation: Model projects revenue for the forecast horizon (July 2024 – December 2025).</w:t>
      </w:r>
    </w:p>
    <w:p>
      <w:pPr>
        <w:pStyle w:val="ListNumber"/>
      </w:pPr>
      <w:r>
        <w:rPr>
          <w:sz w:val="22"/>
        </w:rPr>
        <w:t>Accuracy Evaluation: Generated forecast and existing Final Revenue Forecast both compared against realized actuals using MAPE and WMAPE.</w:t>
      </w:r>
    </w:p>
    <w:p>
      <w:pPr>
        <w:pStyle w:val="ListNumber"/>
      </w:pPr>
      <w:r>
        <w:rPr>
          <w:sz w:val="22"/>
        </w:rPr>
        <w:t>Comparison &amp; Output: Lower-error forecast declared the better model; results written to output files.</w:t>
      </w:r>
    </w:p>
    <w:p/>
    <w:p>
      <w:pPr>
        <w:pStyle w:val="Heading2"/>
      </w:pPr>
      <w:r>
        <w:rPr>
          <w:rFonts w:ascii="Calibri" w:hAnsi="Calibri"/>
          <w:b/>
          <w:color w:val="2E74B5"/>
        </w:rPr>
        <w:t>Key Interface Points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E79"/>
          </w:tcPr>
          <w:p>
            <w:pPr>
              <w:jc w:val="center"/>
            </w:pPr>
            <w:r>
              <w:rPr>
                <w:b/>
                <w:color w:val="FFFFFF"/>
                <w:sz w:val="20"/>
              </w:rPr>
              <w:t>Interface</w:t>
            </w:r>
          </w:p>
        </w:tc>
        <w:tc>
          <w:tcPr>
            <w:tcW w:type="dxa" w:w="4561"/>
            <w:shd w:val="clear" w:color="auto" w:fill="1F4E79"/>
          </w:tcPr>
          <w:p>
            <w:pPr>
              <w:jc w:val="center"/>
            </w:pPr>
            <w:r>
              <w:rPr>
                <w:b/>
                <w:color w:val="FFFFFF"/>
                <w:sz w:val="20"/>
              </w:rPr>
              <w:t>Description</w:t>
            </w:r>
          </w:p>
        </w:tc>
      </w:tr>
      <w:tr>
        <w:tc>
          <w:tcPr>
            <w:tcW w:type="dxa" w:w="4561"/>
            <w:shd w:val="clear" w:color="auto" w:fill="DEEAF1"/>
          </w:tcPr>
          <w:p>
            <w:r>
              <w:rPr>
                <w:sz w:val="20"/>
              </w:rPr>
              <w:t>Input CSV</w:t>
            </w:r>
          </w:p>
        </w:tc>
        <w:tc>
          <w:tcPr>
            <w:tcW w:type="dxa" w:w="4561"/>
            <w:shd w:val="clear" w:color="auto" w:fill="DEEAF1"/>
          </w:tcPr>
          <w:p>
            <w:r>
              <w:rPr>
                <w:sz w:val="20"/>
              </w:rPr>
              <w:t>generated_code/Input/Rev_NA.csv — source revenue data</w:t>
            </w:r>
          </w:p>
        </w:tc>
      </w:tr>
      <w:tr>
        <w:tc>
          <w:tcPr>
            <w:tcW w:type="dxa" w:w="4561"/>
            <w:shd w:val="clear" w:color="auto" w:fill="FFFFFF"/>
          </w:tcPr>
          <w:p>
            <w:r>
              <w:rPr>
                <w:sz w:val="20"/>
              </w:rPr>
              <w:t>Agent Orchestration</w:t>
            </w:r>
          </w:p>
        </w:tc>
        <w:tc>
          <w:tcPr>
            <w:tcW w:type="dxa" w:w="4561"/>
            <w:shd w:val="clear" w:color="auto" w:fill="FFFFFF"/>
          </w:tcPr>
          <w:p>
            <w:r>
              <w:rPr>
                <w:sz w:val="20"/>
              </w:rPr>
              <w:t>OpenAI Agent SDK group-chat with Manager, Analyst, EDA, and Executor agents</w:t>
            </w:r>
          </w:p>
        </w:tc>
      </w:tr>
      <w:tr>
        <w:tc>
          <w:tcPr>
            <w:tcW w:type="dxa" w:w="4561"/>
            <w:shd w:val="clear" w:color="auto" w:fill="DEEAF1"/>
          </w:tcPr>
          <w:p>
            <w:r>
              <w:rPr>
                <w:sz w:val="20"/>
              </w:rPr>
              <w:t>Forecasting Library</w:t>
            </w:r>
          </w:p>
        </w:tc>
        <w:tc>
          <w:tcPr>
            <w:tcW w:type="dxa" w:w="4561"/>
            <w:shd w:val="clear" w:color="auto" w:fill="DEEAF1"/>
          </w:tcPr>
          <w:p>
            <w:r>
              <w:rPr>
                <w:sz w:val="20"/>
              </w:rPr>
              <w:t>statsmodels.tsa.holtwinters.ExponentialSmoothing</w:t>
            </w:r>
          </w:p>
        </w:tc>
      </w:tr>
      <w:tr>
        <w:tc>
          <w:tcPr>
            <w:tcW w:type="dxa" w:w="4561"/>
            <w:shd w:val="clear" w:color="auto" w:fill="FFFFFF"/>
          </w:tcPr>
          <w:p>
            <w:r>
              <w:rPr>
                <w:sz w:val="20"/>
              </w:rPr>
              <w:t>Data Processing</w:t>
            </w:r>
          </w:p>
        </w:tc>
        <w:tc>
          <w:tcPr>
            <w:tcW w:type="dxa" w:w="4561"/>
            <w:shd w:val="clear" w:color="auto" w:fill="FFFFFF"/>
          </w:tcPr>
          <w:p>
            <w:r>
              <w:rPr>
                <w:sz w:val="20"/>
              </w:rPr>
              <w:t>pandas, numpy</w:t>
            </w:r>
          </w:p>
        </w:tc>
      </w:tr>
      <w:tr>
        <w:tc>
          <w:tcPr>
            <w:tcW w:type="dxa" w:w="4561"/>
            <w:shd w:val="clear" w:color="auto" w:fill="DEEAF1"/>
          </w:tcPr>
          <w:p>
            <w:r>
              <w:rPr>
                <w:sz w:val="20"/>
              </w:rPr>
              <w:t>Output Files</w:t>
            </w:r>
          </w:p>
        </w:tc>
        <w:tc>
          <w:tcPr>
            <w:tcW w:type="dxa" w:w="4561"/>
            <w:shd w:val="clear" w:color="auto" w:fill="DEEAF1"/>
          </w:tcPr>
          <w:p>
            <w:r>
              <w:rPr>
                <w:sz w:val="20"/>
              </w:rPr>
              <w:t>CSV and TXT reports in generated_code/Output/</w:t>
            </w:r>
          </w:p>
        </w:tc>
      </w:tr>
    </w:tbl>
    <w:p/>
    <w:p>
      <w:pPr>
        <w:pStyle w:val="Heading1"/>
      </w:pPr>
      <w:r>
        <w:rPr>
          <w:rFonts w:ascii="Calibri" w:hAnsi="Calibri"/>
          <w:b/>
          <w:color w:val="1F4E79"/>
        </w:rPr>
        <w:t>3. TECHNICAL SPECIFICATIONS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20"/>
              </w:rPr>
              <w:t>#</w:t>
            </w:r>
          </w:p>
        </w:tc>
        <w:tc>
          <w:tcPr>
            <w:tcW w:type="dxa" w:w="3041"/>
            <w:shd w:val="clear" w:color="auto" w:fill="1F4E79"/>
          </w:tcPr>
          <w:p>
            <w:pPr>
              <w:jc w:val="center"/>
            </w:pPr>
            <w:r>
              <w:rPr>
                <w:b/>
                <w:color w:val="FFFFFF"/>
                <w:sz w:val="20"/>
              </w:rPr>
              <w:t>Parameter</w:t>
            </w:r>
          </w:p>
        </w:tc>
        <w:tc>
          <w:tcPr>
            <w:tcW w:type="dxa" w:w="3041"/>
            <w:shd w:val="clear" w:color="auto" w:fill="1F4E79"/>
          </w:tcPr>
          <w:p>
            <w:pPr>
              <w:jc w:val="center"/>
            </w:pPr>
            <w:r>
              <w:rPr>
                <w:b/>
                <w:color w:val="FFFFFF"/>
                <w:sz w:val="20"/>
              </w:rPr>
              <w:t>Specification</w:t>
            </w:r>
          </w:p>
        </w:tc>
      </w:tr>
      <w:tr>
        <w:tc>
          <w:tcPr>
            <w:tcW w:type="dxa" w:w="3041"/>
            <w:shd w:val="clear" w:color="auto" w:fill="DEEAF1"/>
          </w:tcPr>
          <w:p>
            <w:r>
              <w:rPr>
                <w:sz w:val="20"/>
              </w:rPr>
              <w:t>1</w:t>
            </w:r>
          </w:p>
        </w:tc>
        <w:tc>
          <w:tcPr>
            <w:tcW w:type="dxa" w:w="3041"/>
            <w:shd w:val="clear" w:color="auto" w:fill="DEEAF1"/>
          </w:tcPr>
          <w:p>
            <w:r>
              <w:rPr>
                <w:sz w:val="20"/>
              </w:rPr>
              <w:t>Dataset</w:t>
            </w:r>
          </w:p>
        </w:tc>
        <w:tc>
          <w:tcPr>
            <w:tcW w:type="dxa" w:w="3041"/>
            <w:shd w:val="clear" w:color="auto" w:fill="DEEAF1"/>
          </w:tcPr>
          <w:p>
            <w:r>
              <w:rPr>
                <w:sz w:val="20"/>
              </w:rPr>
              <w:t>Rev_NA.csv — North America Retail Revenue</w:t>
            </w:r>
          </w:p>
        </w:tc>
      </w:tr>
      <w:tr>
        <w:tc>
          <w:tcPr>
            <w:tcW w:type="dxa" w:w="3041"/>
            <w:shd w:val="clear" w:color="auto" w:fill="FFFFFF"/>
          </w:tcPr>
          <w:p>
            <w:r>
              <w:rPr>
                <w:sz w:val="20"/>
              </w:rPr>
              <w:t>2</w:t>
            </w:r>
          </w:p>
        </w:tc>
        <w:tc>
          <w:tcPr>
            <w:tcW w:type="dxa" w:w="3041"/>
            <w:shd w:val="clear" w:color="auto" w:fill="FFFFFF"/>
          </w:tcPr>
          <w:p>
            <w:r>
              <w:rPr>
                <w:sz w:val="20"/>
              </w:rPr>
              <w:t>Dataset Size</w:t>
            </w:r>
          </w:p>
        </w:tc>
        <w:tc>
          <w:tcPr>
            <w:tcW w:type="dxa" w:w="3041"/>
            <w:shd w:val="clear" w:color="auto" w:fill="FFFFFF"/>
          </w:tcPr>
          <w:p>
            <w:r>
              <w:rPr>
                <w:sz w:val="20"/>
              </w:rPr>
              <w:t>276,577 rows × 10 columns (130 MB)</w:t>
            </w:r>
          </w:p>
        </w:tc>
      </w:tr>
      <w:tr>
        <w:tc>
          <w:tcPr>
            <w:tcW w:type="dxa" w:w="3041"/>
            <w:shd w:val="clear" w:color="auto" w:fill="DEEAF1"/>
          </w:tcPr>
          <w:p>
            <w:r>
              <w:rPr>
                <w:sz w:val="20"/>
              </w:rPr>
              <w:t>3</w:t>
            </w:r>
          </w:p>
        </w:tc>
        <w:tc>
          <w:tcPr>
            <w:tcW w:type="dxa" w:w="3041"/>
            <w:shd w:val="clear" w:color="auto" w:fill="DEEAF1"/>
          </w:tcPr>
          <w:p>
            <w:r>
              <w:rPr>
                <w:sz w:val="20"/>
              </w:rPr>
              <w:t>Time Granularity</w:t>
            </w:r>
          </w:p>
        </w:tc>
        <w:tc>
          <w:tcPr>
            <w:tcW w:type="dxa" w:w="3041"/>
            <w:shd w:val="clear" w:color="auto" w:fill="DEEAF1"/>
          </w:tcPr>
          <w:p>
            <w:r>
              <w:rPr>
                <w:sz w:val="20"/>
              </w:rPr>
              <w:t>Monthly (54 periods: Jul-21 to Dec-25)</w:t>
            </w:r>
          </w:p>
        </w:tc>
      </w:tr>
      <w:tr>
        <w:tc>
          <w:tcPr>
            <w:tcW w:type="dxa" w:w="3041"/>
            <w:shd w:val="clear" w:color="auto" w:fill="FFFFFF"/>
          </w:tcPr>
          <w:p>
            <w:r>
              <w:rPr>
                <w:sz w:val="20"/>
              </w:rPr>
              <w:t>4</w:t>
            </w:r>
          </w:p>
        </w:tc>
        <w:tc>
          <w:tcPr>
            <w:tcW w:type="dxa" w:w="3041"/>
            <w:shd w:val="clear" w:color="auto" w:fill="FFFFFF"/>
          </w:tcPr>
          <w:p>
            <w:r>
              <w:rPr>
                <w:sz w:val="20"/>
              </w:rPr>
              <w:t>Locations</w:t>
            </w:r>
          </w:p>
        </w:tc>
        <w:tc>
          <w:tcPr>
            <w:tcW w:type="dxa" w:w="3041"/>
            <w:shd w:val="clear" w:color="auto" w:fill="FFFFFF"/>
          </w:tcPr>
          <w:p>
            <w:r>
              <w:rPr>
                <w:sz w:val="20"/>
              </w:rPr>
              <w:t>USA, Canada</w:t>
            </w:r>
          </w:p>
        </w:tc>
      </w:tr>
      <w:tr>
        <w:tc>
          <w:tcPr>
            <w:tcW w:type="dxa" w:w="3041"/>
            <w:shd w:val="clear" w:color="auto" w:fill="DEEAF1"/>
          </w:tcPr>
          <w:p>
            <w:r>
              <w:rPr>
                <w:sz w:val="20"/>
              </w:rPr>
              <w:t>5</w:t>
            </w:r>
          </w:p>
        </w:tc>
        <w:tc>
          <w:tcPr>
            <w:tcW w:type="dxa" w:w="3041"/>
            <w:shd w:val="clear" w:color="auto" w:fill="DEEAF1"/>
          </w:tcPr>
          <w:p>
            <w:r>
              <w:rPr>
                <w:sz w:val="20"/>
              </w:rPr>
              <w:t>Channels</w:t>
            </w:r>
          </w:p>
        </w:tc>
        <w:tc>
          <w:tcPr>
            <w:tcW w:type="dxa" w:w="3041"/>
            <w:shd w:val="clear" w:color="auto" w:fill="DEEAF1"/>
          </w:tcPr>
          <w:p>
            <w:r>
              <w:rPr>
                <w:sz w:val="20"/>
              </w:rPr>
              <w:t>75 unique MPU Level 3 channels</w:t>
            </w:r>
          </w:p>
        </w:tc>
      </w:tr>
      <w:tr>
        <w:tc>
          <w:tcPr>
            <w:tcW w:type="dxa" w:w="3041"/>
            <w:shd w:val="clear" w:color="auto" w:fill="FFFFFF"/>
          </w:tcPr>
          <w:p>
            <w:r>
              <w:rPr>
                <w:sz w:val="20"/>
              </w:rPr>
              <w:t>6</w:t>
            </w:r>
          </w:p>
        </w:tc>
        <w:tc>
          <w:tcPr>
            <w:tcW w:type="dxa" w:w="3041"/>
            <w:shd w:val="clear" w:color="auto" w:fill="FFFFFF"/>
          </w:tcPr>
          <w:p>
            <w:r>
              <w:rPr>
                <w:sz w:val="20"/>
              </w:rPr>
              <w:t>Products</w:t>
            </w:r>
          </w:p>
        </w:tc>
        <w:tc>
          <w:tcPr>
            <w:tcW w:type="dxa" w:w="3041"/>
            <w:shd w:val="clear" w:color="auto" w:fill="FFFFFF"/>
          </w:tcPr>
          <w:p>
            <w:r>
              <w:rPr>
                <w:sz w:val="20"/>
              </w:rPr>
              <w:t>250 product planning levels</w:t>
            </w:r>
          </w:p>
        </w:tc>
      </w:tr>
      <w:tr>
        <w:tc>
          <w:tcPr>
            <w:tcW w:type="dxa" w:w="3041"/>
            <w:shd w:val="clear" w:color="auto" w:fill="DEEAF1"/>
          </w:tcPr>
          <w:p>
            <w:r>
              <w:rPr>
                <w:sz w:val="20"/>
              </w:rPr>
              <w:t>7</w:t>
            </w:r>
          </w:p>
        </w:tc>
        <w:tc>
          <w:tcPr>
            <w:tcW w:type="dxa" w:w="3041"/>
            <w:shd w:val="clear" w:color="auto" w:fill="DEEAF1"/>
          </w:tcPr>
          <w:p>
            <w:r>
              <w:rPr>
                <w:sz w:val="20"/>
              </w:rPr>
              <w:t>Forecast Start</w:t>
            </w:r>
          </w:p>
        </w:tc>
        <w:tc>
          <w:tcPr>
            <w:tcW w:type="dxa" w:w="3041"/>
            <w:shd w:val="clear" w:color="auto" w:fill="DEEAF1"/>
          </w:tcPr>
          <w:p>
            <w:r>
              <w:rPr>
                <w:sz w:val="20"/>
              </w:rPr>
              <w:t>July 2024 (auto-detected for both locations)</w:t>
            </w:r>
          </w:p>
        </w:tc>
      </w:tr>
      <w:tr>
        <w:tc>
          <w:tcPr>
            <w:tcW w:type="dxa" w:w="3041"/>
            <w:shd w:val="clear" w:color="auto" w:fill="FFFFFF"/>
          </w:tcPr>
          <w:p>
            <w:r>
              <w:rPr>
                <w:sz w:val="20"/>
              </w:rPr>
              <w:t>8</w:t>
            </w:r>
          </w:p>
        </w:tc>
        <w:tc>
          <w:tcPr>
            <w:tcW w:type="dxa" w:w="3041"/>
            <w:shd w:val="clear" w:color="auto" w:fill="FFFFFF"/>
          </w:tcPr>
          <w:p>
            <w:r>
              <w:rPr>
                <w:sz w:val="20"/>
              </w:rPr>
              <w:t>Forecasting Method</w:t>
            </w:r>
          </w:p>
        </w:tc>
        <w:tc>
          <w:tcPr>
            <w:tcW w:type="dxa" w:w="3041"/>
            <w:shd w:val="clear" w:color="auto" w:fill="FFFFFF"/>
          </w:tcPr>
          <w:p>
            <w:r>
              <w:rPr>
                <w:sz w:val="20"/>
              </w:rPr>
              <w:t>Holt-Winters Exponential Smoothing (damped trend)</w:t>
            </w:r>
          </w:p>
        </w:tc>
      </w:tr>
      <w:tr>
        <w:tc>
          <w:tcPr>
            <w:tcW w:type="dxa" w:w="3041"/>
            <w:shd w:val="clear" w:color="auto" w:fill="DEEAF1"/>
          </w:tcPr>
          <w:p>
            <w:r>
              <w:rPr>
                <w:sz w:val="20"/>
              </w:rPr>
              <w:t>9</w:t>
            </w:r>
          </w:p>
        </w:tc>
        <w:tc>
          <w:tcPr>
            <w:tcW w:type="dxa" w:w="3041"/>
            <w:shd w:val="clear" w:color="auto" w:fill="DEEAF1"/>
          </w:tcPr>
          <w:p>
            <w:r>
              <w:rPr>
                <w:sz w:val="20"/>
              </w:rPr>
              <w:t>Fallback Method</w:t>
            </w:r>
          </w:p>
        </w:tc>
        <w:tc>
          <w:tcPr>
            <w:tcW w:type="dxa" w:w="3041"/>
            <w:shd w:val="clear" w:color="auto" w:fill="DEEAF1"/>
          </w:tcPr>
          <w:p>
            <w:r>
              <w:rPr>
                <w:sz w:val="20"/>
              </w:rPr>
              <w:t>Simple Moving Average (3-period window)</w:t>
            </w:r>
          </w:p>
        </w:tc>
      </w:tr>
      <w:tr>
        <w:tc>
          <w:tcPr>
            <w:tcW w:type="dxa" w:w="3041"/>
            <w:shd w:val="clear" w:color="auto" w:fill="FFFFFF"/>
          </w:tcPr>
          <w:p>
            <w:r>
              <w:rPr>
                <w:sz w:val="20"/>
              </w:rPr>
              <w:t>10</w:t>
            </w:r>
          </w:p>
        </w:tc>
        <w:tc>
          <w:tcPr>
            <w:tcW w:type="dxa" w:w="3041"/>
            <w:shd w:val="clear" w:color="auto" w:fill="FFFFFF"/>
          </w:tcPr>
          <w:p>
            <w:r>
              <w:rPr>
                <w:sz w:val="20"/>
              </w:rPr>
              <w:t>Accuracy Metrics</w:t>
            </w:r>
          </w:p>
        </w:tc>
        <w:tc>
          <w:tcPr>
            <w:tcW w:type="dxa" w:w="3041"/>
            <w:shd w:val="clear" w:color="auto" w:fill="FFFFFF"/>
          </w:tcPr>
          <w:p>
            <w:r>
              <w:rPr>
                <w:sz w:val="20"/>
              </w:rPr>
              <w:t>MAPE, WMAPE</w:t>
            </w:r>
          </w:p>
        </w:tc>
      </w:tr>
      <w:tr>
        <w:tc>
          <w:tcPr>
            <w:tcW w:type="dxa" w:w="3041"/>
            <w:shd w:val="clear" w:color="auto" w:fill="DEEAF1"/>
          </w:tcPr>
          <w:p>
            <w:r>
              <w:rPr>
                <w:sz w:val="20"/>
              </w:rPr>
              <w:t>11</w:t>
            </w:r>
          </w:p>
        </w:tc>
        <w:tc>
          <w:tcPr>
            <w:tcW w:type="dxa" w:w="3041"/>
            <w:shd w:val="clear" w:color="auto" w:fill="DEEAF1"/>
          </w:tcPr>
          <w:p>
            <w:r>
              <w:rPr>
                <w:sz w:val="20"/>
              </w:rPr>
              <w:t>WMAPE — USA</w:t>
            </w:r>
          </w:p>
        </w:tc>
        <w:tc>
          <w:tcPr>
            <w:tcW w:type="dxa" w:w="3041"/>
            <w:shd w:val="clear" w:color="auto" w:fill="DEEAF1"/>
          </w:tcPr>
          <w:p>
            <w:r>
              <w:rPr>
                <w:sz w:val="20"/>
              </w:rPr>
              <w:t>12.49%</w:t>
            </w:r>
          </w:p>
        </w:tc>
      </w:tr>
      <w:tr>
        <w:tc>
          <w:tcPr>
            <w:tcW w:type="dxa" w:w="3041"/>
            <w:shd w:val="clear" w:color="auto" w:fill="FFFFFF"/>
          </w:tcPr>
          <w:p>
            <w:r>
              <w:rPr>
                <w:sz w:val="20"/>
              </w:rPr>
              <w:t>12</w:t>
            </w:r>
          </w:p>
        </w:tc>
        <w:tc>
          <w:tcPr>
            <w:tcW w:type="dxa" w:w="3041"/>
            <w:shd w:val="clear" w:color="auto" w:fill="FFFFFF"/>
          </w:tcPr>
          <w:p>
            <w:r>
              <w:rPr>
                <w:sz w:val="20"/>
              </w:rPr>
              <w:t>WMAPE — Canada</w:t>
            </w:r>
          </w:p>
        </w:tc>
        <w:tc>
          <w:tcPr>
            <w:tcW w:type="dxa" w:w="3041"/>
            <w:shd w:val="clear" w:color="auto" w:fill="FFFFFF"/>
          </w:tcPr>
          <w:p>
            <w:r>
              <w:rPr>
                <w:sz w:val="20"/>
              </w:rPr>
              <w:t>35.4%</w:t>
            </w:r>
          </w:p>
        </w:tc>
      </w:tr>
      <w:tr>
        <w:tc>
          <w:tcPr>
            <w:tcW w:type="dxa" w:w="3041"/>
            <w:shd w:val="clear" w:color="auto" w:fill="DEEAF1"/>
          </w:tcPr>
          <w:p>
            <w:r>
              <w:rPr>
                <w:sz w:val="20"/>
              </w:rPr>
              <w:t>13</w:t>
            </w:r>
          </w:p>
        </w:tc>
        <w:tc>
          <w:tcPr>
            <w:tcW w:type="dxa" w:w="3041"/>
            <w:shd w:val="clear" w:color="auto" w:fill="DEEAF1"/>
          </w:tcPr>
          <w:p>
            <w:r>
              <w:rPr>
                <w:sz w:val="20"/>
              </w:rPr>
              <w:t>Agent Framework</w:t>
            </w:r>
          </w:p>
        </w:tc>
        <w:tc>
          <w:tcPr>
            <w:tcW w:type="dxa" w:w="3041"/>
            <w:shd w:val="clear" w:color="auto" w:fill="DEEAF1"/>
          </w:tcPr>
          <w:p>
            <w:r>
              <w:rPr>
                <w:sz w:val="20"/>
              </w:rPr>
              <w:t>OpenAI Agent SDK (multi-agent group-chat)</w:t>
            </w:r>
          </w:p>
        </w:tc>
      </w:tr>
      <w:tr>
        <w:tc>
          <w:tcPr>
            <w:tcW w:type="dxa" w:w="3041"/>
            <w:shd w:val="clear" w:color="auto" w:fill="FFFFFF"/>
          </w:tcPr>
          <w:p>
            <w:r>
              <w:rPr>
                <w:sz w:val="20"/>
              </w:rPr>
              <w:t>14</w:t>
            </w:r>
          </w:p>
        </w:tc>
        <w:tc>
          <w:tcPr>
            <w:tcW w:type="dxa" w:w="3041"/>
            <w:shd w:val="clear" w:color="auto" w:fill="FFFFFF"/>
          </w:tcPr>
          <w:p>
            <w:r>
              <w:rPr>
                <w:sz w:val="20"/>
              </w:rPr>
              <w:t>Language</w:t>
            </w:r>
          </w:p>
        </w:tc>
        <w:tc>
          <w:tcPr>
            <w:tcW w:type="dxa" w:w="3041"/>
            <w:shd w:val="clear" w:color="auto" w:fill="FFFFFF"/>
          </w:tcPr>
          <w:p>
            <w:r>
              <w:rPr>
                <w:sz w:val="20"/>
              </w:rPr>
              <w:t>Python 3.x</w:t>
            </w:r>
          </w:p>
        </w:tc>
      </w:tr>
      <w:tr>
        <w:tc>
          <w:tcPr>
            <w:tcW w:type="dxa" w:w="3041"/>
            <w:shd w:val="clear" w:color="auto" w:fill="DEEAF1"/>
          </w:tcPr>
          <w:p>
            <w:r>
              <w:rPr>
                <w:sz w:val="20"/>
              </w:rPr>
              <w:t>15</w:t>
            </w:r>
          </w:p>
        </w:tc>
        <w:tc>
          <w:tcPr>
            <w:tcW w:type="dxa" w:w="3041"/>
            <w:shd w:val="clear" w:color="auto" w:fill="DEEAF1"/>
          </w:tcPr>
          <w:p>
            <w:r>
              <w:rPr>
                <w:sz w:val="20"/>
              </w:rPr>
              <w:t>Libraries</w:t>
            </w:r>
          </w:p>
        </w:tc>
        <w:tc>
          <w:tcPr>
            <w:tcW w:type="dxa" w:w="3041"/>
            <w:shd w:val="clear" w:color="auto" w:fill="DEEAF1"/>
          </w:tcPr>
          <w:p>
            <w:r>
              <w:rPr>
                <w:sz w:val="20"/>
              </w:rPr>
              <w:t>pandas, numpy, statsmodels</w:t>
            </w:r>
          </w:p>
        </w:tc>
      </w:tr>
      <w:tr>
        <w:tc>
          <w:tcPr>
            <w:tcW w:type="dxa" w:w="3041"/>
            <w:shd w:val="clear" w:color="auto" w:fill="FFFFFF"/>
          </w:tcPr>
          <w:p>
            <w:r>
              <w:rPr>
                <w:sz w:val="20"/>
              </w:rPr>
              <w:t>16</w:t>
            </w:r>
          </w:p>
        </w:tc>
        <w:tc>
          <w:tcPr>
            <w:tcW w:type="dxa" w:w="3041"/>
            <w:shd w:val="clear" w:color="auto" w:fill="FFFFFF"/>
          </w:tcPr>
          <w:p>
            <w:r>
              <w:rPr>
                <w:sz w:val="20"/>
              </w:rPr>
              <w:t>Output Formats</w:t>
            </w:r>
          </w:p>
        </w:tc>
        <w:tc>
          <w:tcPr>
            <w:tcW w:type="dxa" w:w="3041"/>
            <w:shd w:val="clear" w:color="auto" w:fill="FFFFFF"/>
          </w:tcPr>
          <w:p>
            <w:r>
              <w:rPr>
                <w:sz w:val="20"/>
              </w:rPr>
              <w:t>CSV, TXT</w:t>
            </w:r>
          </w:p>
        </w:tc>
      </w:tr>
      <w:tr>
        <w:tc>
          <w:tcPr>
            <w:tcW w:type="dxa" w:w="3041"/>
            <w:shd w:val="clear" w:color="auto" w:fill="DEEAF1"/>
          </w:tcPr>
          <w:p>
            <w:r>
              <w:rPr>
                <w:sz w:val="20"/>
              </w:rPr>
              <w:t>17</w:t>
            </w:r>
          </w:p>
        </w:tc>
        <w:tc>
          <w:tcPr>
            <w:tcW w:type="dxa" w:w="3041"/>
            <w:shd w:val="clear" w:color="auto" w:fill="DEEAF1"/>
          </w:tcPr>
          <w:p>
            <w:r>
              <w:rPr>
                <w:sz w:val="20"/>
              </w:rPr>
              <w:t>Benchmark Result</w:t>
            </w:r>
          </w:p>
        </w:tc>
        <w:tc>
          <w:tcPr>
            <w:tcW w:type="dxa" w:w="3041"/>
            <w:shd w:val="clear" w:color="auto" w:fill="DEEAF1"/>
          </w:tcPr>
          <w:p>
            <w:r>
              <w:rPr>
                <w:sz w:val="20"/>
              </w:rPr>
              <w:t>Existing Final Revenue Forecast outperforms generated forecast for both locations</w:t>
            </w:r>
          </w:p>
        </w:tc>
      </w:tr>
    </w:tbl>
    <w:p/>
    <w:p>
      <w:pPr>
        <w:pStyle w:val="Heading1"/>
      </w:pPr>
      <w:r>
        <w:rPr>
          <w:rFonts w:ascii="Calibri" w:hAnsi="Calibri"/>
          <w:b/>
          <w:color w:val="1F4E79"/>
        </w:rPr>
        <w:t>4. DESIGN CONSIDERATIONS</w:t>
      </w:r>
    </w:p>
    <w:p>
      <w:pPr>
        <w:pStyle w:val="ListBullet"/>
        <w:spacing w:after="120"/>
      </w:pPr>
      <w:r>
        <w:rPr>
          <w:b/>
          <w:sz w:val="22"/>
        </w:rPr>
        <w:t xml:space="preserve">Modularity: </w:t>
      </w:r>
      <w:r>
        <w:rPr>
          <w:sz w:val="22"/>
        </w:rPr>
        <w:t>Each pipeline step (data prep, forecast identification, model fitting, MAPE calculation) is implemented as an independent function, enabling isolated testing and reuse.</w:t>
      </w:r>
    </w:p>
    <w:p>
      <w:pPr>
        <w:pStyle w:val="ListBullet"/>
        <w:spacing w:after="120"/>
      </w:pPr>
      <w:r>
        <w:rPr>
          <w:b/>
          <w:sz w:val="22"/>
        </w:rPr>
        <w:t xml:space="preserve">Fallback Robustness: </w:t>
      </w:r>
      <w:r>
        <w:rPr>
          <w:sz w:val="22"/>
        </w:rPr>
        <w:t>The system gracefully degrades from Exponential Smoothing to Moving Average when training data is insufficient, ensuring coverage for all locations.</w:t>
      </w:r>
    </w:p>
    <w:p>
      <w:pPr>
        <w:pStyle w:val="ListBullet"/>
        <w:spacing w:after="120"/>
      </w:pPr>
      <w:r>
        <w:rPr>
          <w:b/>
          <w:sz w:val="22"/>
        </w:rPr>
        <w:t xml:space="preserve">Zero-value Handling: </w:t>
      </w:r>
      <w:r>
        <w:rPr>
          <w:sz w:val="22"/>
        </w:rPr>
        <w:t>MAPE calculation explicitly excludes rows where actual = 0 to avoid division errors and misleading error values.</w:t>
      </w:r>
    </w:p>
    <w:p>
      <w:pPr>
        <w:pStyle w:val="ListBullet"/>
        <w:spacing w:after="120"/>
      </w:pPr>
      <w:r>
        <w:rPr>
          <w:b/>
          <w:sz w:val="22"/>
        </w:rPr>
        <w:t xml:space="preserve">Multi-Agent Architecture: </w:t>
      </w:r>
      <w:r>
        <w:rPr>
          <w:sz w:val="22"/>
        </w:rPr>
        <w:t>Separating concerns across specialized agents (Manager, EDA, Analyst, Executor) mirrors production-grade agentic design patterns and enables parallel task delegation.</w:t>
      </w:r>
    </w:p>
    <w:p>
      <w:pPr>
        <w:pStyle w:val="ListBullet"/>
        <w:spacing w:after="120"/>
      </w:pPr>
      <w:r>
        <w:rPr>
          <w:b/>
          <w:sz w:val="22"/>
        </w:rPr>
        <w:t xml:space="preserve">Extensibility: </w:t>
      </w:r>
      <w:r>
        <w:rPr>
          <w:sz w:val="22"/>
        </w:rPr>
        <w:t>The location-level aggregation design can be extended to channel-level and product-level granularity without architectural changes.</w:t>
      </w:r>
    </w:p>
    <w:p>
      <w:pPr>
        <w:pStyle w:val="ListBullet"/>
        <w:spacing w:after="120"/>
      </w:pPr>
      <w:r>
        <w:rPr>
          <w:b/>
          <w:sz w:val="22"/>
        </w:rPr>
        <w:t xml:space="preserve">WMAPE over MAPE: </w:t>
      </w:r>
      <w:r>
        <w:rPr>
          <w:sz w:val="22"/>
        </w:rPr>
        <w:t>WMAPE was chosen as the primary metric for business reporting as it down-weights low-revenue periods that would otherwise distort MAPE in a sparse dataset.</w:t>
      </w:r>
    </w:p>
    <w:p/>
    <w:p>
      <w:pPr>
        <w:pStyle w:val="Heading1"/>
      </w:pPr>
      <w:r>
        <w:rPr>
          <w:rFonts w:ascii="Calibri" w:hAnsi="Calibri"/>
          <w:b/>
          <w:color w:val="1F4E79"/>
        </w:rPr>
        <w:t>5. RESULTS &amp; KEY FINDINGS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pPr>
              <w:jc w:val="center"/>
            </w:pPr>
            <w:r>
              <w:rPr>
                <w:b/>
                <w:color w:val="FFFFFF"/>
                <w:sz w:val="20"/>
              </w:rPr>
              <w:t>Location</w:t>
            </w:r>
          </w:p>
        </w:tc>
        <w:tc>
          <w:tcPr>
            <w:tcW w:type="dxa" w:w="1824"/>
            <w:shd w:val="clear" w:color="auto" w:fill="1F4E79"/>
          </w:tcPr>
          <w:p>
            <w:pPr>
              <w:jc w:val="center"/>
            </w:pPr>
            <w:r>
              <w:rPr>
                <w:b/>
                <w:color w:val="FFFFFF"/>
                <w:sz w:val="20"/>
              </w:rPr>
              <w:t>Forecast Start</w:t>
            </w:r>
          </w:p>
        </w:tc>
        <w:tc>
          <w:tcPr>
            <w:tcW w:type="dxa" w:w="1824"/>
            <w:shd w:val="clear" w:color="auto" w:fill="1F4E79"/>
          </w:tcPr>
          <w:p>
            <w:pPr>
              <w:jc w:val="center"/>
            </w:pPr>
            <w:r>
              <w:rPr>
                <w:b/>
                <w:color w:val="FFFFFF"/>
                <w:sz w:val="20"/>
              </w:rPr>
              <w:t>WMAPE (Existing Forecast)</w:t>
            </w:r>
          </w:p>
        </w:tc>
        <w:tc>
          <w:tcPr>
            <w:tcW w:type="dxa" w:w="1824"/>
            <w:shd w:val="clear" w:color="auto" w:fill="1F4E79"/>
          </w:tcPr>
          <w:p>
            <w:pPr>
              <w:jc w:val="center"/>
            </w:pPr>
            <w:r>
              <w:rPr>
                <w:b/>
                <w:color w:val="FFFFFF"/>
                <w:sz w:val="20"/>
              </w:rPr>
              <w:t>MAPE (Generated Forecast)</w:t>
            </w:r>
          </w:p>
        </w:tc>
        <w:tc>
          <w:tcPr>
            <w:tcW w:type="dxa" w:w="1824"/>
            <w:shd w:val="clear" w:color="auto" w:fill="1F4E79"/>
          </w:tcPr>
          <w:p>
            <w:pPr>
              <w:jc w:val="center"/>
            </w:pPr>
            <w:r>
              <w:rPr>
                <w:b/>
                <w:color w:val="FFFFFF"/>
                <w:sz w:val="20"/>
              </w:rPr>
              <w:t>Better Forecast</w:t>
            </w:r>
          </w:p>
        </w:tc>
      </w:tr>
      <w:tr>
        <w:tc>
          <w:tcPr>
            <w:tcW w:type="dxa" w:w="1824"/>
            <w:shd w:val="clear" w:color="auto" w:fill="DEEAF1"/>
          </w:tcPr>
          <w:p>
            <w:r>
              <w:rPr>
                <w:sz w:val="20"/>
              </w:rPr>
              <w:t>USA</w:t>
            </w:r>
          </w:p>
        </w:tc>
        <w:tc>
          <w:tcPr>
            <w:tcW w:type="dxa" w:w="1824"/>
            <w:shd w:val="clear" w:color="auto" w:fill="DEEAF1"/>
          </w:tcPr>
          <w:p>
            <w:r>
              <w:rPr>
                <w:sz w:val="20"/>
              </w:rPr>
              <w:t>July 2024</w:t>
            </w:r>
          </w:p>
        </w:tc>
        <w:tc>
          <w:tcPr>
            <w:tcW w:type="dxa" w:w="1824"/>
            <w:shd w:val="clear" w:color="auto" w:fill="DEEAF1"/>
          </w:tcPr>
          <w:p>
            <w:r>
              <w:rPr>
                <w:sz w:val="20"/>
              </w:rPr>
              <w:t>12.49%</w:t>
            </w:r>
          </w:p>
        </w:tc>
        <w:tc>
          <w:tcPr>
            <w:tcW w:type="dxa" w:w="1824"/>
            <w:shd w:val="clear" w:color="auto" w:fill="DEEAF1"/>
          </w:tcPr>
          <w:p>
            <w:r>
              <w:rPr>
                <w:sz w:val="20"/>
              </w:rPr>
              <w:t>Very High</w:t>
            </w:r>
          </w:p>
        </w:tc>
        <w:tc>
          <w:tcPr>
            <w:tcW w:type="dxa" w:w="1824"/>
            <w:shd w:val="clear" w:color="auto" w:fill="DEEAF1"/>
          </w:tcPr>
          <w:p>
            <w:r>
              <w:rPr>
                <w:sz w:val="20"/>
              </w:rPr>
              <w:t>Existing Forecast</w:t>
            </w:r>
          </w:p>
        </w:tc>
      </w:tr>
      <w:tr>
        <w:tc>
          <w:tcPr>
            <w:tcW w:type="dxa" w:w="1824"/>
            <w:shd w:val="clear" w:color="auto" w:fill="FFFFFF"/>
          </w:tcPr>
          <w:p>
            <w:r>
              <w:rPr>
                <w:sz w:val="20"/>
              </w:rPr>
              <w:t>Canada</w:t>
            </w:r>
          </w:p>
        </w:tc>
        <w:tc>
          <w:tcPr>
            <w:tcW w:type="dxa" w:w="1824"/>
            <w:shd w:val="clear" w:color="auto" w:fill="FFFFFF"/>
          </w:tcPr>
          <w:p>
            <w:r>
              <w:rPr>
                <w:sz w:val="20"/>
              </w:rPr>
              <w:t>July 2024</w:t>
            </w:r>
          </w:p>
        </w:tc>
        <w:tc>
          <w:tcPr>
            <w:tcW w:type="dxa" w:w="1824"/>
            <w:shd w:val="clear" w:color="auto" w:fill="FFFFFF"/>
          </w:tcPr>
          <w:p>
            <w:r>
              <w:rPr>
                <w:sz w:val="20"/>
              </w:rPr>
              <w:t>35.4%</w:t>
            </w:r>
          </w:p>
        </w:tc>
        <w:tc>
          <w:tcPr>
            <w:tcW w:type="dxa" w:w="1824"/>
            <w:shd w:val="clear" w:color="auto" w:fill="FFFFFF"/>
          </w:tcPr>
          <w:p>
            <w:r>
              <w:rPr>
                <w:sz w:val="20"/>
              </w:rPr>
              <w:t>Very High</w:t>
            </w:r>
          </w:p>
        </w:tc>
        <w:tc>
          <w:tcPr>
            <w:tcW w:type="dxa" w:w="1824"/>
            <w:shd w:val="clear" w:color="auto" w:fill="FFFFFF"/>
          </w:tcPr>
          <w:p>
            <w:r>
              <w:rPr>
                <w:sz w:val="20"/>
              </w:rPr>
              <w:t>Existing Forecast</w:t>
            </w:r>
          </w:p>
        </w:tc>
      </w:tr>
    </w:tbl>
    <w:p/>
    <w:p>
      <w:pPr>
        <w:spacing w:after="120"/>
      </w:pPr>
      <w:r>
        <w:rPr>
          <w:rFonts w:ascii="Calibri" w:hAnsi="Calibri"/>
          <w:b/>
          <w:i w:val="0"/>
          <w:sz w:val="22"/>
        </w:rPr>
        <w:t>Key Observations:</w:t>
      </w:r>
    </w:p>
    <w:p>
      <w:pPr>
        <w:pStyle w:val="ListBullet"/>
      </w:pPr>
      <w:r>
        <w:rPr>
          <w:sz w:val="22"/>
        </w:rPr>
        <w:t>The existing enterprise Final Revenue Forecast significantly outperforms the statistically generated baseline for both locations.</w:t>
      </w:r>
    </w:p>
    <w:p>
      <w:pPr>
        <w:pStyle w:val="ListBullet"/>
      </w:pPr>
      <w:r>
        <w:rPr>
          <w:sz w:val="22"/>
        </w:rPr>
        <w:t>USA forecast accuracy (WMAPE 12.49%) is within the "good" range (10–20%).</w:t>
      </w:r>
    </w:p>
    <w:p>
      <w:pPr>
        <w:pStyle w:val="ListBullet"/>
      </w:pPr>
      <w:r>
        <w:rPr>
          <w:sz w:val="22"/>
        </w:rPr>
        <w:t>Canada forecast accuracy (WMAPE 35.4%) is above the acceptable threshold and warrants investigation.</w:t>
      </w:r>
    </w:p>
    <w:p>
      <w:pPr>
        <w:pStyle w:val="ListBullet"/>
      </w:pPr>
      <w:r>
        <w:rPr>
          <w:sz w:val="22"/>
        </w:rPr>
        <w:t>The generated Exponential Smoothing forecast shows high MAPE, indicating the model requires parameter tuning, seasonal decomposition, or a richer feature set to be competitive.</w:t>
      </w:r>
    </w:p>
    <w:p/>
    <w:p>
      <w:pPr>
        <w:pStyle w:val="Heading1"/>
      </w:pPr>
      <w:r>
        <w:rPr>
          <w:rFonts w:ascii="Calibri" w:hAnsi="Calibri"/>
          <w:b/>
          <w:color w:val="1F4E79"/>
        </w:rPr>
        <w:t>6. FUTURE PLAN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pPr>
              <w:jc w:val="center"/>
            </w:pPr>
            <w:r>
              <w:rPr>
                <w:b/>
                <w:color w:val="FFFFFF"/>
                <w:sz w:val="20"/>
              </w:rPr>
              <w:t>#</w:t>
            </w:r>
          </w:p>
        </w:tc>
        <w:tc>
          <w:tcPr>
            <w:tcW w:type="dxa" w:w="1824"/>
            <w:shd w:val="clear" w:color="auto" w:fill="1F4E79"/>
          </w:tcPr>
          <w:p>
            <w:pPr>
              <w:jc w:val="center"/>
            </w:pPr>
            <w:r>
              <w:rPr>
                <w:b/>
                <w:color w:val="FFFFFF"/>
                <w:sz w:val="20"/>
              </w:rPr>
              <w:t>Phase</w:t>
            </w:r>
          </w:p>
        </w:tc>
        <w:tc>
          <w:tcPr>
            <w:tcW w:type="dxa" w:w="1824"/>
            <w:shd w:val="clear" w:color="auto" w:fill="1F4E79"/>
          </w:tcPr>
          <w:p>
            <w:pPr>
              <w:jc w:val="center"/>
            </w:pPr>
            <w:r>
              <w:rPr>
                <w:b/>
                <w:color w:val="FFFFFF"/>
                <w:sz w:val="20"/>
              </w:rPr>
              <w:t>Timeline</w:t>
            </w:r>
          </w:p>
        </w:tc>
        <w:tc>
          <w:tcPr>
            <w:tcW w:type="dxa" w:w="1824"/>
            <w:shd w:val="clear" w:color="auto" w:fill="1F4E79"/>
          </w:tcPr>
          <w:p>
            <w:pPr>
              <w:jc w:val="center"/>
            </w:pPr>
            <w:r>
              <w:rPr>
                <w:b/>
                <w:color w:val="FFFFFF"/>
                <w:sz w:val="20"/>
              </w:rPr>
              <w:t>Work to be Done</w:t>
            </w:r>
          </w:p>
        </w:tc>
        <w:tc>
          <w:tcPr>
            <w:tcW w:type="dxa" w:w="1824"/>
            <w:shd w:val="clear" w:color="auto" w:fill="1F4E79"/>
          </w:tcPr>
          <w:p>
            <w:pPr>
              <w:jc w:val="center"/>
            </w:pPr>
            <w:r>
              <w:rPr>
                <w:b/>
                <w:color w:val="FFFFFF"/>
                <w:sz w:val="20"/>
              </w:rPr>
              <w:t>Status</w:t>
            </w:r>
          </w:p>
        </w:tc>
      </w:tr>
      <w:tr>
        <w:tc>
          <w:tcPr>
            <w:tcW w:type="dxa" w:w="1824"/>
            <w:shd w:val="clear" w:color="auto" w:fill="DEEAF1"/>
          </w:tcPr>
          <w:p>
            <w:r>
              <w:rPr>
                <w:sz w:val="20"/>
              </w:rPr>
              <w:t>1</w:t>
            </w:r>
          </w:p>
        </w:tc>
        <w:tc>
          <w:tcPr>
            <w:tcW w:type="dxa" w:w="1824"/>
            <w:shd w:val="clear" w:color="auto" w:fill="DEEAF1"/>
          </w:tcPr>
          <w:p>
            <w:r>
              <w:rPr>
                <w:sz w:val="20"/>
              </w:rPr>
              <w:t>Data Exploration &amp; Planning</w:t>
            </w:r>
          </w:p>
        </w:tc>
        <w:tc>
          <w:tcPr>
            <w:tcW w:type="dxa" w:w="1824"/>
            <w:shd w:val="clear" w:color="auto" w:fill="DEEAF1"/>
          </w:tcPr>
          <w:p>
            <w:r>
              <w:rPr>
                <w:sz w:val="20"/>
              </w:rPr>
              <w:t>Jan 2026 – Feb 2026</w:t>
            </w:r>
          </w:p>
        </w:tc>
        <w:tc>
          <w:tcPr>
            <w:tcW w:type="dxa" w:w="1824"/>
            <w:shd w:val="clear" w:color="auto" w:fill="DEEAF1"/>
          </w:tcPr>
          <w:p>
            <w:r>
              <w:rPr>
                <w:sz w:val="20"/>
              </w:rPr>
              <w:t>Data profiling, EDA, implementation plan</w:t>
            </w:r>
          </w:p>
        </w:tc>
        <w:tc>
          <w:tcPr>
            <w:tcW w:type="dxa" w:w="1824"/>
            <w:shd w:val="clear" w:color="auto" w:fill="DEEAF1"/>
          </w:tcPr>
          <w:p>
            <w:r>
              <w:rPr>
                <w:sz w:val="20"/>
              </w:rPr>
              <w:t>COMPLETED</w:t>
            </w:r>
          </w:p>
        </w:tc>
      </w:tr>
      <w:tr>
        <w:tc>
          <w:tcPr>
            <w:tcW w:type="dxa" w:w="1824"/>
            <w:shd w:val="clear" w:color="auto" w:fill="FFFFFF"/>
          </w:tcPr>
          <w:p>
            <w:r>
              <w:rPr>
                <w:sz w:val="20"/>
              </w:rPr>
              <w:t>2</w:t>
            </w:r>
          </w:p>
        </w:tc>
        <w:tc>
          <w:tcPr>
            <w:tcW w:type="dxa" w:w="1824"/>
            <w:shd w:val="clear" w:color="auto" w:fill="FFFFFF"/>
          </w:tcPr>
          <w:p>
            <w:r>
              <w:rPr>
                <w:sz w:val="20"/>
              </w:rPr>
              <w:t>Agent Framework Setup</w:t>
            </w:r>
          </w:p>
        </w:tc>
        <w:tc>
          <w:tcPr>
            <w:tcW w:type="dxa" w:w="1824"/>
            <w:shd w:val="clear" w:color="auto" w:fill="FFFFFF"/>
          </w:tcPr>
          <w:p>
            <w:r>
              <w:rPr>
                <w:sz w:val="20"/>
              </w:rPr>
              <w:t>Feb 2026 – Mar 2026</w:t>
            </w:r>
          </w:p>
        </w:tc>
        <w:tc>
          <w:tcPr>
            <w:tcW w:type="dxa" w:w="1824"/>
            <w:shd w:val="clear" w:color="auto" w:fill="FFFFFF"/>
          </w:tcPr>
          <w:p>
            <w:r>
              <w:rPr>
                <w:sz w:val="20"/>
              </w:rPr>
              <w:t>Multi-agent orchestration, Manager/Analyst/Executor agent design</w:t>
            </w:r>
          </w:p>
        </w:tc>
        <w:tc>
          <w:tcPr>
            <w:tcW w:type="dxa" w:w="1824"/>
            <w:shd w:val="clear" w:color="auto" w:fill="FFFFFF"/>
          </w:tcPr>
          <w:p>
            <w:r>
              <w:rPr>
                <w:sz w:val="20"/>
              </w:rPr>
              <w:t>COMPLETED</w:t>
            </w:r>
          </w:p>
        </w:tc>
      </w:tr>
      <w:tr>
        <w:tc>
          <w:tcPr>
            <w:tcW w:type="dxa" w:w="1824"/>
            <w:shd w:val="clear" w:color="auto" w:fill="DEEAF1"/>
          </w:tcPr>
          <w:p>
            <w:r>
              <w:rPr>
                <w:sz w:val="20"/>
              </w:rPr>
              <w:t>3</w:t>
            </w:r>
          </w:p>
        </w:tc>
        <w:tc>
          <w:tcPr>
            <w:tcW w:type="dxa" w:w="1824"/>
            <w:shd w:val="clear" w:color="auto" w:fill="DEEAF1"/>
          </w:tcPr>
          <w:p>
            <w:r>
              <w:rPr>
                <w:sz w:val="20"/>
              </w:rPr>
              <w:t>Forecasting Engine (v1)</w:t>
            </w:r>
          </w:p>
        </w:tc>
        <w:tc>
          <w:tcPr>
            <w:tcW w:type="dxa" w:w="1824"/>
            <w:shd w:val="clear" w:color="auto" w:fill="DEEAF1"/>
          </w:tcPr>
          <w:p>
            <w:r>
              <w:rPr>
                <w:sz w:val="20"/>
              </w:rPr>
              <w:t>Mar 2026 – Apr 2026</w:t>
            </w:r>
          </w:p>
        </w:tc>
        <w:tc>
          <w:tcPr>
            <w:tcW w:type="dxa" w:w="1824"/>
            <w:shd w:val="clear" w:color="auto" w:fill="DEEAF1"/>
          </w:tcPr>
          <w:p>
            <w:r>
              <w:rPr>
                <w:sz w:val="20"/>
              </w:rPr>
              <w:t>Exponential Smoothing implementation, MAPE/WMAPE calculation</w:t>
            </w:r>
          </w:p>
        </w:tc>
        <w:tc>
          <w:tcPr>
            <w:tcW w:type="dxa" w:w="1824"/>
            <w:shd w:val="clear" w:color="auto" w:fill="DEEAF1"/>
          </w:tcPr>
          <w:p>
            <w:r>
              <w:rPr>
                <w:sz w:val="20"/>
              </w:rPr>
              <w:t>COMPLETED</w:t>
            </w:r>
          </w:p>
        </w:tc>
      </w:tr>
      <w:tr>
        <w:tc>
          <w:tcPr>
            <w:tcW w:type="dxa" w:w="1824"/>
            <w:shd w:val="clear" w:color="auto" w:fill="FFFFFF"/>
          </w:tcPr>
          <w:p>
            <w:r>
              <w:rPr>
                <w:sz w:val="20"/>
              </w:rPr>
              <w:t>4</w:t>
            </w:r>
          </w:p>
        </w:tc>
        <w:tc>
          <w:tcPr>
            <w:tcW w:type="dxa" w:w="1824"/>
            <w:shd w:val="clear" w:color="auto" w:fill="FFFFFF"/>
          </w:tcPr>
          <w:p>
            <w:r>
              <w:rPr>
                <w:sz w:val="20"/>
              </w:rPr>
              <w:t>Accuracy Benchmarking</w:t>
            </w:r>
          </w:p>
        </w:tc>
        <w:tc>
          <w:tcPr>
            <w:tcW w:type="dxa" w:w="1824"/>
            <w:shd w:val="clear" w:color="auto" w:fill="FFFFFF"/>
          </w:tcPr>
          <w:p>
            <w:r>
              <w:rPr>
                <w:sz w:val="20"/>
              </w:rPr>
              <w:t>Apr 2026 – May 2026</w:t>
            </w:r>
          </w:p>
        </w:tc>
        <w:tc>
          <w:tcPr>
            <w:tcW w:type="dxa" w:w="1824"/>
            <w:shd w:val="clear" w:color="auto" w:fill="FFFFFF"/>
          </w:tcPr>
          <w:p>
            <w:r>
              <w:rPr>
                <w:sz w:val="20"/>
              </w:rPr>
              <w:t>Comparison of generated vs existing forecast, WMAPE reporting</w:t>
            </w:r>
          </w:p>
        </w:tc>
        <w:tc>
          <w:tcPr>
            <w:tcW w:type="dxa" w:w="1824"/>
            <w:shd w:val="clear" w:color="auto" w:fill="FFFFFF"/>
          </w:tcPr>
          <w:p>
            <w:r>
              <w:rPr>
                <w:sz w:val="20"/>
              </w:rPr>
              <w:t>COMPLETED</w:t>
            </w:r>
          </w:p>
        </w:tc>
      </w:tr>
      <w:tr>
        <w:tc>
          <w:tcPr>
            <w:tcW w:type="dxa" w:w="1824"/>
            <w:shd w:val="clear" w:color="auto" w:fill="DEEAF1"/>
          </w:tcPr>
          <w:p>
            <w:r>
              <w:rPr>
                <w:sz w:val="20"/>
              </w:rPr>
              <w:t>5</w:t>
            </w:r>
          </w:p>
        </w:tc>
        <w:tc>
          <w:tcPr>
            <w:tcW w:type="dxa" w:w="1824"/>
            <w:shd w:val="clear" w:color="auto" w:fill="DEEAF1"/>
          </w:tcPr>
          <w:p>
            <w:r>
              <w:rPr>
                <w:sz w:val="20"/>
              </w:rPr>
              <w:t>Model Improvement</w:t>
            </w:r>
          </w:p>
        </w:tc>
        <w:tc>
          <w:tcPr>
            <w:tcW w:type="dxa" w:w="1824"/>
            <w:shd w:val="clear" w:color="auto" w:fill="DEEAF1"/>
          </w:tcPr>
          <w:p>
            <w:r>
              <w:rPr>
                <w:sz w:val="20"/>
              </w:rPr>
              <w:t>Jun 2026 – Jul 2026</w:t>
            </w:r>
          </w:p>
        </w:tc>
        <w:tc>
          <w:tcPr>
            <w:tcW w:type="dxa" w:w="1824"/>
            <w:shd w:val="clear" w:color="auto" w:fill="DEEAF1"/>
          </w:tcPr>
          <w:p>
            <w:r>
              <w:rPr>
                <w:sz w:val="20"/>
              </w:rPr>
              <w:t>Parameter tuning, ARIMA/Holt-Winters with seasonality, channel WMAPE</w:t>
            </w:r>
          </w:p>
        </w:tc>
        <w:tc>
          <w:tcPr>
            <w:tcW w:type="dxa" w:w="1824"/>
            <w:shd w:val="clear" w:color="auto" w:fill="DEEAF1"/>
          </w:tcPr>
          <w:p>
            <w:r>
              <w:rPr>
                <w:sz w:val="20"/>
              </w:rPr>
              <w:t>IN PROGRESS</w:t>
            </w:r>
          </w:p>
        </w:tc>
      </w:tr>
      <w:tr>
        <w:tc>
          <w:tcPr>
            <w:tcW w:type="dxa" w:w="1824"/>
            <w:shd w:val="clear" w:color="auto" w:fill="FFFFFF"/>
          </w:tcPr>
          <w:p>
            <w:r>
              <w:rPr>
                <w:sz w:val="20"/>
              </w:rPr>
              <w:t>6</w:t>
            </w:r>
          </w:p>
        </w:tc>
        <w:tc>
          <w:tcPr>
            <w:tcW w:type="dxa" w:w="1824"/>
            <w:shd w:val="clear" w:color="auto" w:fill="FFFFFF"/>
          </w:tcPr>
          <w:p>
            <w:r>
              <w:rPr>
                <w:sz w:val="20"/>
              </w:rPr>
              <w:t>Channel &amp; Product Drill-down</w:t>
            </w:r>
          </w:p>
        </w:tc>
        <w:tc>
          <w:tcPr>
            <w:tcW w:type="dxa" w:w="1824"/>
            <w:shd w:val="clear" w:color="auto" w:fill="FFFFFF"/>
          </w:tcPr>
          <w:p>
            <w:r>
              <w:rPr>
                <w:sz w:val="20"/>
              </w:rPr>
              <w:t>Jul 2026 – Aug 2026</w:t>
            </w:r>
          </w:p>
        </w:tc>
        <w:tc>
          <w:tcPr>
            <w:tcW w:type="dxa" w:w="1824"/>
            <w:shd w:val="clear" w:color="auto" w:fill="FFFFFF"/>
          </w:tcPr>
          <w:p>
            <w:r>
              <w:rPr>
                <w:sz w:val="20"/>
              </w:rPr>
              <w:t>Extend analysis to channel and product planning level granularity</w:t>
            </w:r>
          </w:p>
        </w:tc>
        <w:tc>
          <w:tcPr>
            <w:tcW w:type="dxa" w:w="1824"/>
            <w:shd w:val="clear" w:color="auto" w:fill="FFFFFF"/>
          </w:tcPr>
          <w:p>
            <w:r>
              <w:rPr>
                <w:sz w:val="20"/>
              </w:rPr>
              <w:t>PENDING</w:t>
            </w:r>
          </w:p>
        </w:tc>
      </w:tr>
      <w:tr>
        <w:tc>
          <w:tcPr>
            <w:tcW w:type="dxa" w:w="1824"/>
            <w:shd w:val="clear" w:color="auto" w:fill="DEEAF1"/>
          </w:tcPr>
          <w:p>
            <w:r>
              <w:rPr>
                <w:sz w:val="20"/>
              </w:rPr>
              <w:t>7</w:t>
            </w:r>
          </w:p>
        </w:tc>
        <w:tc>
          <w:tcPr>
            <w:tcW w:type="dxa" w:w="1824"/>
            <w:shd w:val="clear" w:color="auto" w:fill="DEEAF1"/>
          </w:tcPr>
          <w:p>
            <w:r>
              <w:rPr>
                <w:sz w:val="20"/>
              </w:rPr>
              <w:t>Production Integration</w:t>
            </w:r>
          </w:p>
        </w:tc>
        <w:tc>
          <w:tcPr>
            <w:tcW w:type="dxa" w:w="1824"/>
            <w:shd w:val="clear" w:color="auto" w:fill="DEEAF1"/>
          </w:tcPr>
          <w:p>
            <w:r>
              <w:rPr>
                <w:sz w:val="20"/>
              </w:rPr>
              <w:t>Aug 2026 – Sep 2026</w:t>
            </w:r>
          </w:p>
        </w:tc>
        <w:tc>
          <w:tcPr>
            <w:tcW w:type="dxa" w:w="1824"/>
            <w:shd w:val="clear" w:color="auto" w:fill="DEEAF1"/>
          </w:tcPr>
          <w:p>
            <w:r>
              <w:rPr>
                <w:sz w:val="20"/>
              </w:rPr>
              <w:t>Integrate agent pipeline into o9 Solutions planning workflows</w:t>
            </w:r>
          </w:p>
        </w:tc>
        <w:tc>
          <w:tcPr>
            <w:tcW w:type="dxa" w:w="1824"/>
            <w:shd w:val="clear" w:color="auto" w:fill="DEEAF1"/>
          </w:tcPr>
          <w:p>
            <w:r>
              <w:rPr>
                <w:sz w:val="20"/>
              </w:rPr>
              <w:t>PENDING</w:t>
            </w:r>
          </w:p>
        </w:tc>
      </w:tr>
      <w:tr>
        <w:tc>
          <w:tcPr>
            <w:tcW w:type="dxa" w:w="1824"/>
            <w:shd w:val="clear" w:color="auto" w:fill="FFFFFF"/>
          </w:tcPr>
          <w:p>
            <w:r>
              <w:rPr>
                <w:sz w:val="20"/>
              </w:rPr>
              <w:t>8</w:t>
            </w:r>
          </w:p>
        </w:tc>
        <w:tc>
          <w:tcPr>
            <w:tcW w:type="dxa" w:w="1824"/>
            <w:shd w:val="clear" w:color="auto" w:fill="FFFFFF"/>
          </w:tcPr>
          <w:p>
            <w:r>
              <w:rPr>
                <w:sz w:val="20"/>
              </w:rPr>
              <w:t>Final Review &amp; Documentation</w:t>
            </w:r>
          </w:p>
        </w:tc>
        <w:tc>
          <w:tcPr>
            <w:tcW w:type="dxa" w:w="1824"/>
            <w:shd w:val="clear" w:color="auto" w:fill="FFFFFF"/>
          </w:tcPr>
          <w:p>
            <w:r>
              <w:rPr>
                <w:sz w:val="20"/>
              </w:rPr>
              <w:t>Sep 2026</w:t>
            </w:r>
          </w:p>
        </w:tc>
        <w:tc>
          <w:tcPr>
            <w:tcW w:type="dxa" w:w="1824"/>
            <w:shd w:val="clear" w:color="auto" w:fill="FFFFFF"/>
          </w:tcPr>
          <w:p>
            <w:r>
              <w:rPr>
                <w:sz w:val="20"/>
              </w:rPr>
              <w:t>Full system documentation and sign-off</w:t>
            </w:r>
          </w:p>
        </w:tc>
        <w:tc>
          <w:tcPr>
            <w:tcW w:type="dxa" w:w="1824"/>
            <w:shd w:val="clear" w:color="auto" w:fill="FFFFFF"/>
          </w:tcPr>
          <w:p>
            <w:r>
              <w:rPr>
                <w:sz w:val="20"/>
              </w:rPr>
              <w:t>PENDING</w:t>
            </w:r>
          </w:p>
        </w:tc>
      </w:tr>
    </w:tbl>
    <w:p/>
    <w:p>
      <w:pPr>
        <w:pStyle w:val="Heading1"/>
      </w:pPr>
      <w:r>
        <w:rPr>
          <w:rFonts w:ascii="Calibri" w:hAnsi="Calibri"/>
          <w:b/>
          <w:color w:val="1F4E79"/>
        </w:rPr>
        <w:t>7. ABBREVIATIONS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E79"/>
          </w:tcPr>
          <w:p>
            <w:pPr>
              <w:jc w:val="center"/>
            </w:pPr>
            <w:r>
              <w:rPr>
                <w:b/>
                <w:color w:val="FFFFFF"/>
                <w:sz w:val="20"/>
              </w:rPr>
              <w:t>Term</w:t>
            </w:r>
          </w:p>
        </w:tc>
        <w:tc>
          <w:tcPr>
            <w:tcW w:type="dxa" w:w="4561"/>
            <w:shd w:val="clear" w:color="auto" w:fill="1F4E79"/>
          </w:tcPr>
          <w:p>
            <w:pPr>
              <w:jc w:val="center"/>
            </w:pPr>
            <w:r>
              <w:rPr>
                <w:b/>
                <w:color w:val="FFFFFF"/>
                <w:sz w:val="20"/>
              </w:rPr>
              <w:t>Expansion</w:t>
            </w:r>
          </w:p>
        </w:tc>
      </w:tr>
      <w:tr>
        <w:tc>
          <w:tcPr>
            <w:tcW w:type="dxa" w:w="4561"/>
            <w:shd w:val="clear" w:color="auto" w:fill="DEEAF1"/>
          </w:tcPr>
          <w:p>
            <w:r>
              <w:rPr>
                <w:sz w:val="20"/>
              </w:rPr>
              <w:t>API</w:t>
            </w:r>
          </w:p>
        </w:tc>
        <w:tc>
          <w:tcPr>
            <w:tcW w:type="dxa" w:w="4561"/>
            <w:shd w:val="clear" w:color="auto" w:fill="DEEAF1"/>
          </w:tcPr>
          <w:p>
            <w:r>
              <w:rPr>
                <w:sz w:val="20"/>
              </w:rPr>
              <w:t>Application Programming Interface</w:t>
            </w:r>
          </w:p>
        </w:tc>
      </w:tr>
      <w:tr>
        <w:tc>
          <w:tcPr>
            <w:tcW w:type="dxa" w:w="4561"/>
            <w:shd w:val="clear" w:color="auto" w:fill="FFFFFF"/>
          </w:tcPr>
          <w:p>
            <w:r>
              <w:rPr>
                <w:sz w:val="20"/>
              </w:rPr>
              <w:t>ARIMA</w:t>
            </w:r>
          </w:p>
        </w:tc>
        <w:tc>
          <w:tcPr>
            <w:tcW w:type="dxa" w:w="4561"/>
            <w:shd w:val="clear" w:color="auto" w:fill="FFFFFF"/>
          </w:tcPr>
          <w:p>
            <w:r>
              <w:rPr>
                <w:sz w:val="20"/>
              </w:rPr>
              <w:t>Autoregressive Integrated Moving Average</w:t>
            </w:r>
          </w:p>
        </w:tc>
      </w:tr>
      <w:tr>
        <w:tc>
          <w:tcPr>
            <w:tcW w:type="dxa" w:w="4561"/>
            <w:shd w:val="clear" w:color="auto" w:fill="DEEAF1"/>
          </w:tcPr>
          <w:p>
            <w:r>
              <w:rPr>
                <w:sz w:val="20"/>
              </w:rPr>
              <w:t>CSV</w:t>
            </w:r>
          </w:p>
        </w:tc>
        <w:tc>
          <w:tcPr>
            <w:tcW w:type="dxa" w:w="4561"/>
            <w:shd w:val="clear" w:color="auto" w:fill="DEEAF1"/>
          </w:tcPr>
          <w:p>
            <w:r>
              <w:rPr>
                <w:sz w:val="20"/>
              </w:rPr>
              <w:t>Comma-Separated Values</w:t>
            </w:r>
          </w:p>
        </w:tc>
      </w:tr>
      <w:tr>
        <w:tc>
          <w:tcPr>
            <w:tcW w:type="dxa" w:w="4561"/>
            <w:shd w:val="clear" w:color="auto" w:fill="FFFFFF"/>
          </w:tcPr>
          <w:p>
            <w:r>
              <w:rPr>
                <w:sz w:val="20"/>
              </w:rPr>
              <w:t>EDA</w:t>
            </w:r>
          </w:p>
        </w:tc>
        <w:tc>
          <w:tcPr>
            <w:tcW w:type="dxa" w:w="4561"/>
            <w:shd w:val="clear" w:color="auto" w:fill="FFFFFF"/>
          </w:tcPr>
          <w:p>
            <w:r>
              <w:rPr>
                <w:sz w:val="20"/>
              </w:rPr>
              <w:t>Exploratory Data Analysis</w:t>
            </w:r>
          </w:p>
        </w:tc>
      </w:tr>
      <w:tr>
        <w:tc>
          <w:tcPr>
            <w:tcW w:type="dxa" w:w="4561"/>
            <w:shd w:val="clear" w:color="auto" w:fill="DEEAF1"/>
          </w:tcPr>
          <w:p>
            <w:r>
              <w:rPr>
                <w:sz w:val="20"/>
              </w:rPr>
              <w:t>ETS</w:t>
            </w:r>
          </w:p>
        </w:tc>
        <w:tc>
          <w:tcPr>
            <w:tcW w:type="dxa" w:w="4561"/>
            <w:shd w:val="clear" w:color="auto" w:fill="DEEAF1"/>
          </w:tcPr>
          <w:p>
            <w:r>
              <w:rPr>
                <w:sz w:val="20"/>
              </w:rPr>
              <w:t>Error-Trend-Seasonality (Exponential Smoothing family)</w:t>
            </w:r>
          </w:p>
        </w:tc>
      </w:tr>
      <w:tr>
        <w:tc>
          <w:tcPr>
            <w:tcW w:type="dxa" w:w="4561"/>
            <w:shd w:val="clear" w:color="auto" w:fill="FFFFFF"/>
          </w:tcPr>
          <w:p>
            <w:r>
              <w:rPr>
                <w:sz w:val="20"/>
              </w:rPr>
              <w:t>GSA</w:t>
            </w:r>
          </w:p>
        </w:tc>
        <w:tc>
          <w:tcPr>
            <w:tcW w:type="dxa" w:w="4561"/>
            <w:shd w:val="clear" w:color="auto" w:fill="FFFFFF"/>
          </w:tcPr>
          <w:p>
            <w:r>
              <w:rPr>
                <w:sz w:val="20"/>
              </w:rPr>
              <w:t>General Sporting Accounts</w:t>
            </w:r>
          </w:p>
        </w:tc>
      </w:tr>
      <w:tr>
        <w:tc>
          <w:tcPr>
            <w:tcW w:type="dxa" w:w="4561"/>
            <w:shd w:val="clear" w:color="auto" w:fill="DEEAF1"/>
          </w:tcPr>
          <w:p>
            <w:r>
              <w:rPr>
                <w:sz w:val="20"/>
              </w:rPr>
              <w:t>LLM</w:t>
            </w:r>
          </w:p>
        </w:tc>
        <w:tc>
          <w:tcPr>
            <w:tcW w:type="dxa" w:w="4561"/>
            <w:shd w:val="clear" w:color="auto" w:fill="DEEAF1"/>
          </w:tcPr>
          <w:p>
            <w:r>
              <w:rPr>
                <w:sz w:val="20"/>
              </w:rPr>
              <w:t>Large Language Model</w:t>
            </w:r>
          </w:p>
        </w:tc>
      </w:tr>
      <w:tr>
        <w:tc>
          <w:tcPr>
            <w:tcW w:type="dxa" w:w="4561"/>
            <w:shd w:val="clear" w:color="auto" w:fill="FFFFFF"/>
          </w:tcPr>
          <w:p>
            <w:r>
              <w:rPr>
                <w:sz w:val="20"/>
              </w:rPr>
              <w:t>MAPE</w:t>
            </w:r>
          </w:p>
        </w:tc>
        <w:tc>
          <w:tcPr>
            <w:tcW w:type="dxa" w:w="4561"/>
            <w:shd w:val="clear" w:color="auto" w:fill="FFFFFF"/>
          </w:tcPr>
          <w:p>
            <w:r>
              <w:rPr>
                <w:sz w:val="20"/>
              </w:rPr>
              <w:t>Mean Absolute Percentage Error</w:t>
            </w:r>
          </w:p>
        </w:tc>
      </w:tr>
      <w:tr>
        <w:tc>
          <w:tcPr>
            <w:tcW w:type="dxa" w:w="4561"/>
            <w:shd w:val="clear" w:color="auto" w:fill="DEEAF1"/>
          </w:tcPr>
          <w:p>
            <w:r>
              <w:rPr>
                <w:sz w:val="20"/>
              </w:rPr>
              <w:t>MPU</w:t>
            </w:r>
          </w:p>
        </w:tc>
        <w:tc>
          <w:tcPr>
            <w:tcW w:type="dxa" w:w="4561"/>
            <w:shd w:val="clear" w:color="auto" w:fill="DEEAF1"/>
          </w:tcPr>
          <w:p>
            <w:r>
              <w:rPr>
                <w:sz w:val="20"/>
              </w:rPr>
              <w:t>Merchandise Planning Unit</w:t>
            </w:r>
          </w:p>
        </w:tc>
      </w:tr>
      <w:tr>
        <w:tc>
          <w:tcPr>
            <w:tcW w:type="dxa" w:w="4561"/>
            <w:shd w:val="clear" w:color="auto" w:fill="FFFFFF"/>
          </w:tcPr>
          <w:p>
            <w:r>
              <w:rPr>
                <w:sz w:val="20"/>
              </w:rPr>
              <w:t>NA</w:t>
            </w:r>
          </w:p>
        </w:tc>
        <w:tc>
          <w:tcPr>
            <w:tcW w:type="dxa" w:w="4561"/>
            <w:shd w:val="clear" w:color="auto" w:fill="FFFFFF"/>
          </w:tcPr>
          <w:p>
            <w:r>
              <w:rPr>
                <w:sz w:val="20"/>
              </w:rPr>
              <w:t>North America</w:t>
            </w:r>
          </w:p>
        </w:tc>
      </w:tr>
      <w:tr>
        <w:tc>
          <w:tcPr>
            <w:tcW w:type="dxa" w:w="4561"/>
            <w:shd w:val="clear" w:color="auto" w:fill="DEEAF1"/>
          </w:tcPr>
          <w:p>
            <w:r>
              <w:rPr>
                <w:sz w:val="20"/>
              </w:rPr>
              <w:t>SDK</w:t>
            </w:r>
          </w:p>
        </w:tc>
        <w:tc>
          <w:tcPr>
            <w:tcW w:type="dxa" w:w="4561"/>
            <w:shd w:val="clear" w:color="auto" w:fill="DEEAF1"/>
          </w:tcPr>
          <w:p>
            <w:r>
              <w:rPr>
                <w:sz w:val="20"/>
              </w:rPr>
              <w:t>Software Development Kit</w:t>
            </w:r>
          </w:p>
        </w:tc>
      </w:tr>
      <w:tr>
        <w:tc>
          <w:tcPr>
            <w:tcW w:type="dxa" w:w="4561"/>
            <w:shd w:val="clear" w:color="auto" w:fill="FFFFFF"/>
          </w:tcPr>
          <w:p>
            <w:r>
              <w:rPr>
                <w:sz w:val="20"/>
              </w:rPr>
              <w:t>WMAPE</w:t>
            </w:r>
          </w:p>
        </w:tc>
        <w:tc>
          <w:tcPr>
            <w:tcW w:type="dxa" w:w="4561"/>
            <w:shd w:val="clear" w:color="auto" w:fill="FFFFFF"/>
          </w:tcPr>
          <w:p>
            <w:r>
              <w:rPr>
                <w:sz w:val="20"/>
              </w:rPr>
              <w:t>Weighted Mean Absolute Percentage Error</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