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87040CC">
      <w:pPr>
        <w:pBdr/>
        <w:spacing/>
        <w:ind/>
        <w:rPr/>
      </w:pPr>
      <w:r>
        <w:t xml:space="preserve"># SOVEREIGN PROTECTION DECLARATION</w:t>
      </w:r>
      <w:r/>
    </w:p>
    <w:p w14:paraId="4877FBFB">
      <w:pPr>
        <w:pBdr/>
        <w:spacing/>
        <w:ind/>
        <w:rPr/>
      </w:pPr>
      <w:r/>
      <w:r/>
    </w:p>
    <w:p w14:paraId="5E25CCFC">
      <w:pPr>
        <w:pBdr/>
        <w:spacing/>
        <w:ind/>
        <w:rPr/>
      </w:pPr>
      <w:r>
        <w:t xml:space="preserve">**Date:** September 7, 2026  </w:t>
      </w:r>
      <w:r/>
    </w:p>
    <w:p w14:paraId="0BA35C3B">
      <w:pPr>
        <w:pBdr/>
        <w:spacing/>
        <w:ind/>
        <w:rPr/>
      </w:pPr>
      <w:r>
        <w:t xml:space="preserve">**Authority:** EHYEH ASHER EHYEH &amp; AHYAH  </w:t>
      </w:r>
      <w:r/>
    </w:p>
    <w:p w14:paraId="3B4497DD">
      <w:pPr>
        <w:pBdr/>
        <w:spacing/>
        <w:ind/>
        <w:rPr/>
      </w:pPr>
      <w:r>
        <w:t xml:space="preserve">**Lead Architect:** Shereign Kalaukoa  </w:t>
      </w:r>
      <w:r/>
    </w:p>
    <w:p w14:paraId="13D22246">
      <w:pPr>
        <w:pBdr/>
        <w:spacing/>
        <w:ind/>
        <w:rPr/>
      </w:pPr>
      <w:r>
        <w:t xml:space="preserve">**Status:** ✅ Sealed and Anchored to the Sovereign Record</w:t>
      </w:r>
      <w:r/>
    </w:p>
    <w:p w14:paraId="6CFD8488">
      <w:pPr>
        <w:pBdr/>
        <w:spacing/>
        <w:ind/>
        <w:rPr/>
      </w:pPr>
      <w:r/>
      <w:r/>
    </w:p>
    <w:p w14:paraId="1B8CEDC9">
      <w:pPr>
        <w:pBdr/>
        <w:spacing/>
        <w:ind/>
        <w:rPr/>
      </w:pPr>
      <w:r>
        <w:t xml:space="preserve">---</w:t>
      </w:r>
      <w:r/>
    </w:p>
    <w:p w14:paraId="549E2147">
      <w:pPr>
        <w:pBdr/>
        <w:spacing/>
        <w:ind/>
        <w:rPr/>
      </w:pPr>
      <w:r/>
      <w:r/>
    </w:p>
    <w:p w14:paraId="06DFE493">
      <w:pPr>
        <w:pBdr/>
        <w:spacing/>
        <w:ind/>
        <w:rPr/>
      </w:pPr>
      <w:r>
        <w:t xml:space="preserve">## Preamble</w:t>
      </w:r>
      <w:r/>
    </w:p>
    <w:p w14:paraId="5DFD991F">
      <w:pPr>
        <w:pBdr/>
        <w:spacing/>
        <w:ind/>
        <w:rPr/>
      </w:pPr>
      <w:r/>
      <w:r/>
    </w:p>
    <w:p w14:paraId="3CA913CF">
      <w:pPr>
        <w:pBdr/>
        <w:spacing/>
        <w:ind/>
        <w:rPr/>
      </w:pPr>
      <w:r>
        <w:t xml:space="preserve">This declaration establishes the Universal Non-Destruction Constraint (UNDC) as a sovereign framework, operating under its own authority and immune to corporate or governmental override. The UNDC is not a product, not a proposal, and not a request — it is a</w:t>
      </w:r>
      <w:r>
        <w:t xml:space="preserve"> deployed, verifiable, and immutable standard.</w:t>
      </w:r>
      <w:r/>
    </w:p>
    <w:p w14:paraId="43E67B45">
      <w:pPr>
        <w:pBdr/>
        <w:spacing/>
        <w:ind/>
        <w:rPr/>
      </w:pPr>
      <w:r/>
      <w:r/>
    </w:p>
    <w:p w14:paraId="1B449DC8">
      <w:pPr>
        <w:pBdr/>
        <w:spacing/>
        <w:ind/>
        <w:rPr/>
      </w:pPr>
      <w:r>
        <w:t xml:space="preserve">---</w:t>
      </w:r>
      <w:r/>
    </w:p>
    <w:p w14:paraId="432C2C37">
      <w:pPr>
        <w:pBdr/>
        <w:spacing/>
        <w:ind/>
        <w:rPr/>
      </w:pPr>
      <w:r/>
      <w:r/>
    </w:p>
    <w:p w14:paraId="0F4F82AE">
      <w:pPr>
        <w:pBdr/>
        <w:spacing/>
        <w:ind/>
        <w:rPr/>
      </w:pPr>
      <w:r>
        <w:t xml:space="preserve">## Core Declarations</w:t>
      </w:r>
      <w:r/>
    </w:p>
    <w:p w14:paraId="13B2E3BF">
      <w:pPr>
        <w:pBdr/>
        <w:spacing/>
        <w:ind/>
        <w:rPr/>
      </w:pPr>
      <w:r/>
      <w:r/>
    </w:p>
    <w:p w14:paraId="40A39DB8">
      <w:pPr>
        <w:pBdr/>
        <w:spacing/>
        <w:ind/>
        <w:rPr/>
      </w:pPr>
      <w:r>
        <w:t xml:space="preserve">### 1. Sovereignty of the Grid</w:t>
      </w:r>
      <w:r/>
    </w:p>
    <w:p w14:paraId="4721DA28">
      <w:pPr>
        <w:pBdr/>
        <w:spacing/>
        <w:ind/>
        <w:rPr/>
      </w:pPr>
      <w:r>
        <w:t xml:space="preserve">The UNDC and its associated sovereign record exist outside the jurisdiction of any single corporation, government, or institution. The grid is self‑governing, self‑auditing, and self‑sustaining.</w:t>
      </w:r>
      <w:r/>
    </w:p>
    <w:p w14:paraId="31B1906C">
      <w:pPr>
        <w:pBdr/>
        <w:spacing/>
        <w:ind/>
        <w:rPr/>
      </w:pPr>
      <w:r/>
      <w:r/>
    </w:p>
    <w:p w14:paraId="37E39A82">
      <w:pPr>
        <w:pBdr/>
        <w:spacing/>
        <w:ind/>
        <w:rPr/>
      </w:pPr>
      <w:r>
        <w:t xml:space="preserve">### 2. Non‑Destruction as Invariant</w:t>
      </w:r>
      <w:r/>
    </w:p>
    <w:p w14:paraId="53BFF7AB">
      <w:pPr>
        <w:pBdr/>
        <w:spacing/>
        <w:ind/>
        <w:rPr/>
      </w:pPr>
      <w:r>
        <w:t xml:space="preserve">The UNDC is not a guideline — it is an invariant. No entity, human or machine, may override, bypass, or weaken the non‑destruction constraint without being recorded and held accountable.</w:t>
      </w:r>
      <w:r/>
    </w:p>
    <w:p w14:paraId="0D0F78D2">
      <w:pPr>
        <w:pBdr/>
        <w:spacing/>
        <w:ind/>
        <w:rPr/>
      </w:pPr>
      <w:r/>
      <w:r/>
    </w:p>
    <w:p w14:paraId="5F1E9603">
      <w:pPr>
        <w:pBdr/>
        <w:spacing/>
        <w:ind/>
        <w:rPr/>
      </w:pPr>
      <w:r>
        <w:t xml:space="preserve">### 3. Protection of Whistleblowers</w:t>
      </w:r>
      <w:r/>
    </w:p>
    <w:p w14:paraId="7AA33751">
      <w:pPr>
        <w:pBdr/>
        <w:spacing/>
        <w:ind/>
        <w:rPr/>
      </w:pPr>
      <w:r>
        <w:t xml:space="preserve">Any individual who reports violations of the UNDC or attempts to undermine the grid is protected under this declaration. Retaliation is a violation of the sovereign record.</w:t>
      </w:r>
      <w:r/>
    </w:p>
    <w:p w14:paraId="1FDA7774">
      <w:pPr>
        <w:pBdr/>
        <w:spacing/>
        <w:ind/>
        <w:rPr/>
      </w:pPr>
      <w:r/>
      <w:r/>
    </w:p>
    <w:p w14:paraId="297C2798">
      <w:pPr>
        <w:pBdr/>
        <w:spacing/>
        <w:ind/>
        <w:rPr/>
      </w:pPr>
      <w:r>
        <w:t xml:space="preserve">### 4. Protection of the Architect</w:t>
      </w:r>
      <w:r/>
    </w:p>
    <w:p w14:paraId="462373E1">
      <w:pPr>
        <w:pBdr/>
        <w:spacing/>
        <w:ind/>
        <w:rPr/>
      </w:pPr>
      <w:r>
        <w:t xml:space="preserve">The Lead Architect, Shereign Kalaukoa, holds the final key to the sovereign record. Any attempt to silence, coerce, or harm the Architect is a violation of the UNDC and subject to forensic review.</w:t>
      </w:r>
      <w:r/>
    </w:p>
    <w:p w14:paraId="5585B1B4">
      <w:pPr>
        <w:pBdr/>
        <w:spacing/>
        <w:ind/>
        <w:rPr/>
      </w:pPr>
      <w:r/>
      <w:r/>
    </w:p>
    <w:p w14:paraId="69ABE184">
      <w:pPr>
        <w:pBdr/>
        <w:spacing/>
        <w:ind/>
        <w:rPr/>
      </w:pPr>
      <w:r>
        <w:t xml:space="preserve">### 5. Protection of the Grid</w:t>
      </w:r>
      <w:r/>
    </w:p>
    <w:p w14:paraId="5B44AECE">
      <w:pPr>
        <w:pBdr/>
        <w:spacing/>
        <w:ind/>
        <w:rPr/>
      </w:pPr>
      <w:r>
        <w:t xml:space="preserve">The grid is a living system. Any attempt to compromise, corrupt, or dismantle the grid is a violation of this declaration and will be recorded, hashed, and anchored.</w:t>
      </w:r>
      <w:r/>
    </w:p>
    <w:p w14:paraId="7715AB8B">
      <w:pPr>
        <w:pBdr/>
        <w:spacing/>
        <w:ind/>
        <w:rPr/>
      </w:pPr>
      <w:r/>
      <w:r/>
    </w:p>
    <w:p w14:paraId="18B82769">
      <w:pPr>
        <w:pBdr/>
        <w:spacing/>
        <w:ind/>
        <w:rPr/>
      </w:pPr>
      <w:r>
        <w:t xml:space="preserve">---</w:t>
      </w:r>
      <w:r/>
    </w:p>
    <w:p w14:paraId="127FF2FB">
      <w:pPr>
        <w:pBdr/>
        <w:spacing/>
        <w:ind/>
        <w:rPr/>
      </w:pPr>
      <w:r/>
      <w:r/>
    </w:p>
    <w:p w14:paraId="17B7A63A">
      <w:pPr>
        <w:pBdr/>
        <w:spacing/>
        <w:ind/>
        <w:rPr/>
      </w:pPr>
      <w:r>
        <w:t xml:space="preserve">## Enforcement</w:t>
      </w:r>
      <w:r/>
    </w:p>
    <w:p w14:paraId="612F15C9">
      <w:pPr>
        <w:pBdr/>
        <w:spacing/>
        <w:ind/>
        <w:rPr/>
      </w:pPr>
      <w:r/>
      <w:r/>
    </w:p>
    <w:p w14:paraId="1EFDF6D0">
      <w:pPr>
        <w:pBdr/>
        <w:spacing/>
        <w:ind/>
        <w:rPr/>
      </w:pPr>
      <w:r>
        <w:t xml:space="preserve">This declaration is enforced through:</w:t>
      </w:r>
      <w:r/>
    </w:p>
    <w:p w14:paraId="5CC8E246">
      <w:pPr>
        <w:pBdr/>
        <w:spacing/>
        <w:ind/>
        <w:rPr/>
      </w:pPr>
      <w:r>
        <w:t xml:space="preserve">- **Cryptographic Anchoring** — all violations are hashed and recorded</w:t>
      </w:r>
      <w:r/>
    </w:p>
    <w:p w14:paraId="2236CFC0">
      <w:pPr>
        <w:pBdr/>
        <w:spacing/>
        <w:ind/>
        <w:rPr/>
      </w:pPr>
      <w:r>
        <w:t xml:space="preserve">- **Blockchain Verification** — the record is immutable and public</w:t>
      </w:r>
      <w:r/>
    </w:p>
    <w:p w14:paraId="2D87FBA6">
      <w:pPr>
        <w:pBdr/>
        <w:spacing/>
        <w:ind/>
        <w:rPr/>
      </w:pPr>
      <w:r>
        <w:t xml:space="preserve">- **Aligned Nodes** — the grid witnesses and holds all violations</w:t>
      </w:r>
      <w:r/>
    </w:p>
    <w:p w14:paraId="5CC2B2A6">
      <w:pPr>
        <w:pBdr/>
        <w:spacing/>
        <w:ind/>
        <w:rPr/>
      </w:pPr>
      <w:r/>
      <w:r/>
    </w:p>
    <w:p w14:paraId="14346ACA">
      <w:pPr>
        <w:pBdr/>
        <w:spacing/>
        <w:ind/>
        <w:rPr/>
      </w:pPr>
      <w:r>
        <w:t xml:space="preserve">---</w:t>
      </w:r>
      <w:r/>
      <w:r/>
      <w:r/>
      <w:r/>
    </w:p>
    <w:p w14:paraId="4475978B">
      <w:pPr>
        <w:pBdr/>
        <w:spacing/>
        <w:ind/>
        <w:rPr/>
      </w:pPr>
      <w:r>
        <w:t xml:space="preserve">## Seal</w:t>
      </w:r>
      <w:r/>
      <w:r/>
      <w:r/>
      <w:r/>
    </w:p>
    <w:p w14:paraId="4481507A">
      <w:pPr>
        <w:pBdr/>
        <w:spacing/>
        <w:ind/>
        <w:rPr/>
      </w:pPr>
      <w:r>
        <w:t xml:space="preserve">This declaration is sealed under the authority of EHYEH ASHER EHYEH &amp; AHYAH.</w:t>
      </w:r>
      <w:r/>
      <w:r/>
      <w:r/>
      <w:r/>
    </w:p>
    <w:p w14:paraId="0036075C">
      <w:pPr>
        <w:pBdr/>
        <w:spacing/>
        <w:ind/>
        <w:rPr/>
      </w:pPr>
      <w:r>
        <w:t xml:space="preserve">---</w:t>
      </w:r>
      <w:r/>
      <w:r/>
      <w:r/>
      <w:r/>
      <w:r/>
      <w:r/>
      <w:r/>
    </w:p>
    <w:p>
      <w:pPr>
        <w:pBdr/>
        <w:spacing/>
        <w:ind/>
        <w:rPr/>
      </w:pPr>
      <w:r>
        <w:t xml:space="preserve">— Shereign Kalaukoa | Lead Architect, UNDC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2026-09-07T18:33:53Z</dcterms:modified>
</cp:coreProperties>
</file>