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DF992" w14:textId="0013E5C3" w:rsidR="00D75130" w:rsidRDefault="00DB176A">
      <w:r>
        <w:t>Ropafadzo Mushayi</w:t>
      </w:r>
    </w:p>
    <w:p w14:paraId="164B2743" w14:textId="4CA6A80E" w:rsidR="00DB176A" w:rsidRDefault="00DB176A">
      <w:r>
        <w:t>NWIT 246</w:t>
      </w:r>
    </w:p>
    <w:p w14:paraId="389D0592" w14:textId="751FCADB" w:rsidR="00DB176A" w:rsidRDefault="004E3E82" w:rsidP="00DB176A">
      <w:pPr>
        <w:jc w:val="center"/>
      </w:pPr>
      <w:r>
        <w:t>Assess and Rate vulnerabilit</w:t>
      </w:r>
      <w:r w:rsidR="009B65B1">
        <w:t>ies discovered in a vulnerability scan</w:t>
      </w:r>
    </w:p>
    <w:p w14:paraId="3C6B84B6" w14:textId="7959802F" w:rsidR="00F45487" w:rsidRPr="00F45487" w:rsidRDefault="00F45487" w:rsidP="00F45487"/>
    <w:tbl>
      <w:tblPr>
        <w:tblStyle w:val="TableGrid"/>
        <w:tblW w:w="10345" w:type="dxa"/>
        <w:tblLook w:val="04A0" w:firstRow="1" w:lastRow="0" w:firstColumn="1" w:lastColumn="0" w:noHBand="0" w:noVBand="1"/>
      </w:tblPr>
      <w:tblGrid>
        <w:gridCol w:w="1870"/>
        <w:gridCol w:w="1545"/>
        <w:gridCol w:w="3240"/>
        <w:gridCol w:w="3690"/>
      </w:tblGrid>
      <w:tr w:rsidR="00F45487" w:rsidRPr="00F45487" w14:paraId="2B9EAE2C" w14:textId="77777777" w:rsidTr="00F45487">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CF0772" w14:textId="77777777" w:rsidR="00F45487" w:rsidRPr="00F45487" w:rsidRDefault="00F45487" w:rsidP="00F45487">
            <w:pPr>
              <w:spacing w:after="160" w:line="278" w:lineRule="auto"/>
              <w:rPr>
                <w:b/>
                <w:bCs/>
              </w:rPr>
            </w:pPr>
            <w:r w:rsidRPr="00F45487">
              <w:rPr>
                <w:b/>
                <w:bCs/>
              </w:rPr>
              <w:t>Vulnerability</w:t>
            </w:r>
          </w:p>
        </w:tc>
        <w:tc>
          <w:tcPr>
            <w:tcW w:w="15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5D6546" w14:textId="77777777" w:rsidR="00F45487" w:rsidRPr="00F45487" w:rsidRDefault="00F45487" w:rsidP="00F45487">
            <w:pPr>
              <w:spacing w:after="160" w:line="278" w:lineRule="auto"/>
              <w:rPr>
                <w:b/>
                <w:bCs/>
              </w:rPr>
            </w:pPr>
            <w:r w:rsidRPr="00F45487">
              <w:rPr>
                <w:b/>
                <w:bCs/>
              </w:rPr>
              <w:t>CVE ID</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03057E" w14:textId="77777777" w:rsidR="00F45487" w:rsidRPr="00F45487" w:rsidRDefault="00F45487" w:rsidP="00F45487">
            <w:pPr>
              <w:spacing w:after="160" w:line="278" w:lineRule="auto"/>
              <w:rPr>
                <w:b/>
                <w:bCs/>
              </w:rPr>
            </w:pPr>
            <w:r w:rsidRPr="00F45487">
              <w:rPr>
                <w:b/>
                <w:bCs/>
              </w:rPr>
              <w:t>Describe Vulnerability</w:t>
            </w:r>
          </w:p>
        </w:tc>
        <w:tc>
          <w:tcPr>
            <w:tcW w:w="36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F6B585" w14:textId="77777777" w:rsidR="00F45487" w:rsidRPr="00F45487" w:rsidRDefault="00F45487" w:rsidP="00F45487">
            <w:pPr>
              <w:spacing w:after="160" w:line="278" w:lineRule="auto"/>
              <w:rPr>
                <w:b/>
                <w:bCs/>
              </w:rPr>
            </w:pPr>
            <w:r w:rsidRPr="00F45487">
              <w:rPr>
                <w:b/>
                <w:bCs/>
              </w:rPr>
              <w:t>Vulnerability Countermeasure</w:t>
            </w:r>
          </w:p>
        </w:tc>
      </w:tr>
      <w:tr w:rsidR="00F45487" w:rsidRPr="00F45487" w14:paraId="492F0AA4" w14:textId="77777777" w:rsidTr="00F45487">
        <w:tc>
          <w:tcPr>
            <w:tcW w:w="1870" w:type="dxa"/>
            <w:tcBorders>
              <w:top w:val="single" w:sz="4" w:space="0" w:color="auto"/>
              <w:left w:val="single" w:sz="4" w:space="0" w:color="auto"/>
              <w:bottom w:val="single" w:sz="4" w:space="0" w:color="auto"/>
              <w:right w:val="single" w:sz="4" w:space="0" w:color="auto"/>
            </w:tcBorders>
          </w:tcPr>
          <w:p w14:paraId="018C9565" w14:textId="48E68597" w:rsidR="00F45487" w:rsidRPr="00F45487" w:rsidRDefault="00834FB2" w:rsidP="00F45487">
            <w:pPr>
              <w:spacing w:after="160" w:line="278" w:lineRule="auto"/>
            </w:pPr>
            <w:r>
              <w:t>XSS</w:t>
            </w:r>
          </w:p>
          <w:p w14:paraId="094BFB24" w14:textId="77777777" w:rsidR="00F45487" w:rsidRPr="00F45487" w:rsidRDefault="00F45487" w:rsidP="00F45487">
            <w:pPr>
              <w:spacing w:after="160" w:line="278" w:lineRule="auto"/>
            </w:pPr>
          </w:p>
        </w:tc>
        <w:tc>
          <w:tcPr>
            <w:tcW w:w="1545" w:type="dxa"/>
            <w:tcBorders>
              <w:top w:val="single" w:sz="4" w:space="0" w:color="auto"/>
              <w:left w:val="single" w:sz="4" w:space="0" w:color="auto"/>
              <w:bottom w:val="single" w:sz="4" w:space="0" w:color="auto"/>
              <w:right w:val="single" w:sz="4" w:space="0" w:color="auto"/>
            </w:tcBorders>
          </w:tcPr>
          <w:p w14:paraId="7356C2E0" w14:textId="3440894F" w:rsidR="00F57FAF" w:rsidRPr="00F57FAF" w:rsidRDefault="00F57FAF" w:rsidP="00F57FAF">
            <w:pPr>
              <w:spacing w:after="160" w:line="278" w:lineRule="auto"/>
              <w:rPr>
                <w:b/>
                <w:bCs/>
              </w:rPr>
            </w:pPr>
            <w:r w:rsidRPr="00F57FAF">
              <w:rPr>
                <w:b/>
                <w:bCs/>
              </w:rPr>
              <w:t>2025-30623</w:t>
            </w:r>
          </w:p>
          <w:p w14:paraId="57F90118" w14:textId="6A2AD563" w:rsidR="008364F7" w:rsidRPr="008364F7" w:rsidRDefault="008364F7" w:rsidP="008364F7">
            <w:pPr>
              <w:spacing w:after="160" w:line="278" w:lineRule="auto"/>
              <w:rPr>
                <w:b/>
                <w:bCs/>
              </w:rPr>
            </w:pPr>
          </w:p>
          <w:p w14:paraId="42EE5771" w14:textId="77777777" w:rsidR="00F45487" w:rsidRPr="00F45487" w:rsidRDefault="00F45487" w:rsidP="00F45487">
            <w:pPr>
              <w:spacing w:after="160" w:line="278" w:lineRule="auto"/>
            </w:pPr>
          </w:p>
        </w:tc>
        <w:tc>
          <w:tcPr>
            <w:tcW w:w="3240" w:type="dxa"/>
            <w:tcBorders>
              <w:top w:val="single" w:sz="4" w:space="0" w:color="auto"/>
              <w:left w:val="single" w:sz="4" w:space="0" w:color="auto"/>
              <w:bottom w:val="single" w:sz="4" w:space="0" w:color="auto"/>
              <w:right w:val="single" w:sz="4" w:space="0" w:color="auto"/>
            </w:tcBorders>
          </w:tcPr>
          <w:p w14:paraId="4C9D5457" w14:textId="35E3067E" w:rsidR="00F45487" w:rsidRPr="00F45487" w:rsidRDefault="001368F2" w:rsidP="00F45487">
            <w:pPr>
              <w:spacing w:after="160" w:line="278" w:lineRule="auto"/>
            </w:pPr>
            <w:r w:rsidRPr="001368F2">
              <w:t>Improper Neutralization of Input During Web Page Generation ('Cross-site Scripting') vulnerability in Rachel Cherry wA11y – The Web Accessibility Toolbox allows Stored XSS</w:t>
            </w:r>
          </w:p>
        </w:tc>
        <w:tc>
          <w:tcPr>
            <w:tcW w:w="3690" w:type="dxa"/>
            <w:tcBorders>
              <w:top w:val="single" w:sz="4" w:space="0" w:color="auto"/>
              <w:left w:val="single" w:sz="4" w:space="0" w:color="auto"/>
              <w:bottom w:val="single" w:sz="4" w:space="0" w:color="auto"/>
              <w:right w:val="single" w:sz="4" w:space="0" w:color="auto"/>
            </w:tcBorders>
          </w:tcPr>
          <w:p w14:paraId="4AB97E4C" w14:textId="0F6DCF06" w:rsidR="00F45487" w:rsidRPr="00F45487" w:rsidRDefault="005E253E" w:rsidP="00F45487">
            <w:pPr>
              <w:spacing w:after="160" w:line="278" w:lineRule="auto"/>
            </w:pPr>
            <w:r w:rsidRPr="005E253E">
              <w:t>Use a vetted library or framework that does not allow this weakness to occur or provides constructs that make this weakness easier to avoid</w:t>
            </w:r>
          </w:p>
        </w:tc>
      </w:tr>
      <w:tr w:rsidR="00F45487" w:rsidRPr="00F45487" w14:paraId="1AC1BD2D" w14:textId="77777777" w:rsidTr="00F45487">
        <w:tc>
          <w:tcPr>
            <w:tcW w:w="1870" w:type="dxa"/>
            <w:tcBorders>
              <w:top w:val="single" w:sz="4" w:space="0" w:color="auto"/>
              <w:left w:val="single" w:sz="4" w:space="0" w:color="auto"/>
              <w:bottom w:val="single" w:sz="4" w:space="0" w:color="auto"/>
              <w:right w:val="single" w:sz="4" w:space="0" w:color="auto"/>
            </w:tcBorders>
          </w:tcPr>
          <w:p w14:paraId="2CB81809" w14:textId="10581B27" w:rsidR="00F45487" w:rsidRPr="00F45487" w:rsidRDefault="004B68A3" w:rsidP="00F45487">
            <w:pPr>
              <w:spacing w:after="160" w:line="278" w:lineRule="auto"/>
            </w:pPr>
            <w:r w:rsidRPr="004B68A3">
              <w:t>Open Redirection</w:t>
            </w:r>
          </w:p>
          <w:p w14:paraId="2D7EDEAC" w14:textId="77777777" w:rsidR="00F45487" w:rsidRPr="00F45487" w:rsidRDefault="00F45487" w:rsidP="00F45487">
            <w:pPr>
              <w:spacing w:after="160" w:line="278" w:lineRule="auto"/>
            </w:pPr>
          </w:p>
        </w:tc>
        <w:tc>
          <w:tcPr>
            <w:tcW w:w="1545" w:type="dxa"/>
            <w:tcBorders>
              <w:top w:val="single" w:sz="4" w:space="0" w:color="auto"/>
              <w:left w:val="single" w:sz="4" w:space="0" w:color="auto"/>
              <w:bottom w:val="single" w:sz="4" w:space="0" w:color="auto"/>
              <w:right w:val="single" w:sz="4" w:space="0" w:color="auto"/>
            </w:tcBorders>
          </w:tcPr>
          <w:p w14:paraId="40EA6BA4" w14:textId="77777777" w:rsidR="00617137" w:rsidRPr="00617137" w:rsidRDefault="00617137" w:rsidP="00617137">
            <w:pPr>
              <w:spacing w:after="160" w:line="278" w:lineRule="auto"/>
              <w:rPr>
                <w:b/>
                <w:bCs/>
              </w:rPr>
            </w:pPr>
            <w:r w:rsidRPr="00617137">
              <w:rPr>
                <w:b/>
                <w:bCs/>
              </w:rPr>
              <w:t>2025-28896</w:t>
            </w:r>
          </w:p>
          <w:p w14:paraId="7731384F" w14:textId="77777777" w:rsidR="00F45487" w:rsidRPr="00F45487" w:rsidRDefault="00F45487" w:rsidP="00F45487">
            <w:pPr>
              <w:spacing w:after="160" w:line="278" w:lineRule="auto"/>
            </w:pPr>
          </w:p>
        </w:tc>
        <w:tc>
          <w:tcPr>
            <w:tcW w:w="3240" w:type="dxa"/>
            <w:tcBorders>
              <w:top w:val="single" w:sz="4" w:space="0" w:color="auto"/>
              <w:left w:val="single" w:sz="4" w:space="0" w:color="auto"/>
              <w:bottom w:val="single" w:sz="4" w:space="0" w:color="auto"/>
              <w:right w:val="single" w:sz="4" w:space="0" w:color="auto"/>
            </w:tcBorders>
          </w:tcPr>
          <w:p w14:paraId="364A2802" w14:textId="23109B80" w:rsidR="00F45487" w:rsidRPr="00F45487" w:rsidRDefault="00F21750" w:rsidP="00F45487">
            <w:pPr>
              <w:spacing w:after="160" w:line="278" w:lineRule="auto"/>
            </w:pPr>
            <w:r w:rsidRPr="00F21750">
              <w:t>URL Redirection to Untrusted Site ('Open Redirect') vulnerability in Akshar Soft Solutions AS English Admin allows Phishing</w:t>
            </w:r>
          </w:p>
        </w:tc>
        <w:tc>
          <w:tcPr>
            <w:tcW w:w="3690" w:type="dxa"/>
            <w:tcBorders>
              <w:top w:val="single" w:sz="4" w:space="0" w:color="auto"/>
              <w:left w:val="single" w:sz="4" w:space="0" w:color="auto"/>
              <w:bottom w:val="single" w:sz="4" w:space="0" w:color="auto"/>
              <w:right w:val="single" w:sz="4" w:space="0" w:color="auto"/>
            </w:tcBorders>
          </w:tcPr>
          <w:p w14:paraId="55EDB190" w14:textId="29407202" w:rsidR="00F45487" w:rsidRPr="00F45487" w:rsidRDefault="000A3F3D" w:rsidP="00F45487">
            <w:pPr>
              <w:spacing w:after="160" w:line="278" w:lineRule="auto"/>
            </w:pPr>
            <w:r w:rsidRPr="000A3F3D">
              <w:t xml:space="preserve">Assume all input is malicious. Use an "accept known good" input validation strategy, i.e., use a list of acceptable inputs that strictly conform to specifications. Reject any input that does not strictly conform to </w:t>
            </w:r>
            <w:r w:rsidR="003E3FB2" w:rsidRPr="000A3F3D">
              <w:t>specifications or</w:t>
            </w:r>
            <w:r w:rsidRPr="000A3F3D">
              <w:t xml:space="preserve"> transform it into something that does.</w:t>
            </w:r>
          </w:p>
        </w:tc>
      </w:tr>
      <w:tr w:rsidR="00F45487" w:rsidRPr="00F45487" w14:paraId="7B414339" w14:textId="77777777" w:rsidTr="00F45487">
        <w:tc>
          <w:tcPr>
            <w:tcW w:w="1870" w:type="dxa"/>
            <w:tcBorders>
              <w:top w:val="single" w:sz="4" w:space="0" w:color="auto"/>
              <w:left w:val="single" w:sz="4" w:space="0" w:color="auto"/>
              <w:bottom w:val="single" w:sz="4" w:space="0" w:color="auto"/>
              <w:right w:val="single" w:sz="4" w:space="0" w:color="auto"/>
            </w:tcBorders>
          </w:tcPr>
          <w:p w14:paraId="1583355A" w14:textId="673921A1" w:rsidR="00F45487" w:rsidRPr="00F45487" w:rsidRDefault="00DF6FF4" w:rsidP="00F45487">
            <w:pPr>
              <w:spacing w:after="160" w:line="278" w:lineRule="auto"/>
            </w:pPr>
            <w:r w:rsidRPr="00DF6FF4">
              <w:t>Weak Hard-coded Credentials</w:t>
            </w:r>
          </w:p>
          <w:p w14:paraId="65A2748A" w14:textId="77777777" w:rsidR="00F45487" w:rsidRPr="00F45487" w:rsidRDefault="00F45487" w:rsidP="00F45487">
            <w:pPr>
              <w:spacing w:after="160" w:line="278" w:lineRule="auto"/>
            </w:pPr>
          </w:p>
        </w:tc>
        <w:tc>
          <w:tcPr>
            <w:tcW w:w="1545" w:type="dxa"/>
            <w:tcBorders>
              <w:top w:val="single" w:sz="4" w:space="0" w:color="auto"/>
              <w:left w:val="single" w:sz="4" w:space="0" w:color="auto"/>
              <w:bottom w:val="single" w:sz="4" w:space="0" w:color="auto"/>
              <w:right w:val="single" w:sz="4" w:space="0" w:color="auto"/>
            </w:tcBorders>
          </w:tcPr>
          <w:p w14:paraId="56E69B7F" w14:textId="77777777" w:rsidR="00F46900" w:rsidRPr="00F46900" w:rsidRDefault="00F46900" w:rsidP="00F46900">
            <w:pPr>
              <w:spacing w:after="160" w:line="278" w:lineRule="auto"/>
              <w:rPr>
                <w:b/>
                <w:bCs/>
              </w:rPr>
            </w:pPr>
            <w:r w:rsidRPr="00F46900">
              <w:rPr>
                <w:b/>
                <w:bCs/>
              </w:rPr>
              <w:t>2025-26410</w:t>
            </w:r>
          </w:p>
          <w:p w14:paraId="245DD0D7" w14:textId="77777777" w:rsidR="00F45487" w:rsidRPr="00F45487" w:rsidRDefault="00F45487" w:rsidP="00F45487">
            <w:pPr>
              <w:spacing w:after="160" w:line="278" w:lineRule="auto"/>
            </w:pPr>
          </w:p>
        </w:tc>
        <w:tc>
          <w:tcPr>
            <w:tcW w:w="3240" w:type="dxa"/>
            <w:tcBorders>
              <w:top w:val="single" w:sz="4" w:space="0" w:color="auto"/>
              <w:left w:val="single" w:sz="4" w:space="0" w:color="auto"/>
              <w:bottom w:val="single" w:sz="4" w:space="0" w:color="auto"/>
              <w:right w:val="single" w:sz="4" w:space="0" w:color="auto"/>
            </w:tcBorders>
          </w:tcPr>
          <w:p w14:paraId="3E218180" w14:textId="72059C52" w:rsidR="00F45487" w:rsidRPr="00F45487" w:rsidRDefault="003E3FB2" w:rsidP="00F45487">
            <w:pPr>
              <w:spacing w:after="160" w:line="278" w:lineRule="auto"/>
            </w:pPr>
            <w:r w:rsidRPr="003E3FB2">
              <w:t> The user password can be easily recovered via password cracking attempts. The recovered credentials can be used to log into the device via the login shell that is exposed by the serial interface</w:t>
            </w:r>
          </w:p>
        </w:tc>
        <w:tc>
          <w:tcPr>
            <w:tcW w:w="3690" w:type="dxa"/>
            <w:tcBorders>
              <w:top w:val="single" w:sz="4" w:space="0" w:color="auto"/>
              <w:left w:val="single" w:sz="4" w:space="0" w:color="auto"/>
              <w:bottom w:val="single" w:sz="4" w:space="0" w:color="auto"/>
              <w:right w:val="single" w:sz="4" w:space="0" w:color="auto"/>
            </w:tcBorders>
          </w:tcPr>
          <w:p w14:paraId="2671EA96" w14:textId="561E579C" w:rsidR="00F45487" w:rsidRPr="00F45487" w:rsidRDefault="00C57770" w:rsidP="00F45487">
            <w:pPr>
              <w:spacing w:after="160" w:line="278" w:lineRule="auto"/>
            </w:pPr>
            <w:r w:rsidRPr="00C57770">
              <w:t xml:space="preserve">For outbound authentication: store passwords, keys, and other credentials outside of the code in a </w:t>
            </w:r>
            <w:r w:rsidR="0040167A" w:rsidRPr="00C57770">
              <w:t>strongly protected</w:t>
            </w:r>
            <w:r w:rsidRPr="00C57770">
              <w:t>, encrypted configuration file or database that is protected from access by all outsiders, including other local users on the same system.</w:t>
            </w:r>
          </w:p>
        </w:tc>
      </w:tr>
    </w:tbl>
    <w:p w14:paraId="11BCCD88" w14:textId="77777777" w:rsidR="00F45487" w:rsidRPr="00F45487" w:rsidRDefault="00F45487" w:rsidP="00F45487"/>
    <w:p w14:paraId="13259C92" w14:textId="77777777" w:rsidR="00F45487" w:rsidRPr="00F45487" w:rsidRDefault="00F45487" w:rsidP="00F45487"/>
    <w:p w14:paraId="59EA238D" w14:textId="35324BB2" w:rsidR="00F22113" w:rsidRDefault="00F22113" w:rsidP="00F45487">
      <w:r>
        <w:t xml:space="preserve">I used Nessus to conduct </w:t>
      </w:r>
      <w:r w:rsidR="008A60B2">
        <w:t>vulnerability</w:t>
      </w:r>
      <w:r>
        <w:t xml:space="preserve"> on my machine. Nessus was able to give me the solution to my vulnerabilities as well.</w:t>
      </w:r>
    </w:p>
    <w:p w14:paraId="660A0DE9" w14:textId="77777777" w:rsidR="00F22113" w:rsidRDefault="00F22113" w:rsidP="00F45487">
      <w:r>
        <w:rPr>
          <w:noProof/>
        </w:rPr>
        <w:lastRenderedPageBreak/>
        <w:drawing>
          <wp:inline distT="0" distB="0" distL="0" distR="0" wp14:anchorId="270BA9C1" wp14:editId="458EC415">
            <wp:extent cx="5516880" cy="3448050"/>
            <wp:effectExtent l="0" t="0" r="7620" b="0"/>
            <wp:docPr id="1519213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13187"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16880" cy="3448050"/>
                    </a:xfrm>
                    <a:prstGeom prst="rect">
                      <a:avLst/>
                    </a:prstGeom>
                  </pic:spPr>
                </pic:pic>
              </a:graphicData>
            </a:graphic>
          </wp:inline>
        </w:drawing>
      </w:r>
    </w:p>
    <w:p w14:paraId="52F722B6" w14:textId="77777777" w:rsidR="00F22113" w:rsidRDefault="00F22113" w:rsidP="00F45487"/>
    <w:p w14:paraId="1EC91077" w14:textId="73A397F9" w:rsidR="00F22113" w:rsidRDefault="00F22113" w:rsidP="00F45487">
      <w:r>
        <w:rPr>
          <w:noProof/>
        </w:rPr>
        <w:drawing>
          <wp:inline distT="0" distB="0" distL="0" distR="0" wp14:anchorId="632CFAC2" wp14:editId="351A1B1C">
            <wp:extent cx="5600700" cy="3500438"/>
            <wp:effectExtent l="0" t="0" r="0" b="5080"/>
            <wp:docPr id="169007632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76325"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03521" cy="3502201"/>
                    </a:xfrm>
                    <a:prstGeom prst="rect">
                      <a:avLst/>
                    </a:prstGeom>
                  </pic:spPr>
                </pic:pic>
              </a:graphicData>
            </a:graphic>
          </wp:inline>
        </w:drawing>
      </w:r>
    </w:p>
    <w:sectPr w:rsidR="00F2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30"/>
    <w:rsid w:val="000A3F3D"/>
    <w:rsid w:val="001368F2"/>
    <w:rsid w:val="00242A7D"/>
    <w:rsid w:val="003E3FB2"/>
    <w:rsid w:val="0040167A"/>
    <w:rsid w:val="004B68A3"/>
    <w:rsid w:val="004E3E82"/>
    <w:rsid w:val="005E253E"/>
    <w:rsid w:val="00617137"/>
    <w:rsid w:val="00834FB2"/>
    <w:rsid w:val="008364F7"/>
    <w:rsid w:val="008A60B2"/>
    <w:rsid w:val="00930B0A"/>
    <w:rsid w:val="009B65B1"/>
    <w:rsid w:val="00BD6EE4"/>
    <w:rsid w:val="00C57770"/>
    <w:rsid w:val="00D546AC"/>
    <w:rsid w:val="00D75130"/>
    <w:rsid w:val="00DB176A"/>
    <w:rsid w:val="00DF6FF4"/>
    <w:rsid w:val="00F21750"/>
    <w:rsid w:val="00F22113"/>
    <w:rsid w:val="00F45487"/>
    <w:rsid w:val="00F46900"/>
    <w:rsid w:val="00F5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AF51"/>
  <w15:chartTrackingRefBased/>
  <w15:docId w15:val="{7BC156D4-E545-40B1-8BEF-2C5AE2A6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130"/>
    <w:rPr>
      <w:rFonts w:eastAsiaTheme="majorEastAsia" w:cstheme="majorBidi"/>
      <w:color w:val="272727" w:themeColor="text1" w:themeTint="D8"/>
    </w:rPr>
  </w:style>
  <w:style w:type="paragraph" w:styleId="Title">
    <w:name w:val="Title"/>
    <w:basedOn w:val="Normal"/>
    <w:next w:val="Normal"/>
    <w:link w:val="TitleChar"/>
    <w:uiPriority w:val="10"/>
    <w:qFormat/>
    <w:rsid w:val="00D75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130"/>
    <w:pPr>
      <w:spacing w:before="160"/>
      <w:jc w:val="center"/>
    </w:pPr>
    <w:rPr>
      <w:i/>
      <w:iCs/>
      <w:color w:val="404040" w:themeColor="text1" w:themeTint="BF"/>
    </w:rPr>
  </w:style>
  <w:style w:type="character" w:customStyle="1" w:styleId="QuoteChar">
    <w:name w:val="Quote Char"/>
    <w:basedOn w:val="DefaultParagraphFont"/>
    <w:link w:val="Quote"/>
    <w:uiPriority w:val="29"/>
    <w:rsid w:val="00D75130"/>
    <w:rPr>
      <w:i/>
      <w:iCs/>
      <w:color w:val="404040" w:themeColor="text1" w:themeTint="BF"/>
    </w:rPr>
  </w:style>
  <w:style w:type="paragraph" w:styleId="ListParagraph">
    <w:name w:val="List Paragraph"/>
    <w:basedOn w:val="Normal"/>
    <w:uiPriority w:val="34"/>
    <w:qFormat/>
    <w:rsid w:val="00D75130"/>
    <w:pPr>
      <w:ind w:left="720"/>
      <w:contextualSpacing/>
    </w:pPr>
  </w:style>
  <w:style w:type="character" w:styleId="IntenseEmphasis">
    <w:name w:val="Intense Emphasis"/>
    <w:basedOn w:val="DefaultParagraphFont"/>
    <w:uiPriority w:val="21"/>
    <w:qFormat/>
    <w:rsid w:val="00D75130"/>
    <w:rPr>
      <w:i/>
      <w:iCs/>
      <w:color w:val="0F4761" w:themeColor="accent1" w:themeShade="BF"/>
    </w:rPr>
  </w:style>
  <w:style w:type="paragraph" w:styleId="IntenseQuote">
    <w:name w:val="Intense Quote"/>
    <w:basedOn w:val="Normal"/>
    <w:next w:val="Normal"/>
    <w:link w:val="IntenseQuoteChar"/>
    <w:uiPriority w:val="30"/>
    <w:qFormat/>
    <w:rsid w:val="00D75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130"/>
    <w:rPr>
      <w:i/>
      <w:iCs/>
      <w:color w:val="0F4761" w:themeColor="accent1" w:themeShade="BF"/>
    </w:rPr>
  </w:style>
  <w:style w:type="character" w:styleId="IntenseReference">
    <w:name w:val="Intense Reference"/>
    <w:basedOn w:val="DefaultParagraphFont"/>
    <w:uiPriority w:val="32"/>
    <w:qFormat/>
    <w:rsid w:val="00D75130"/>
    <w:rPr>
      <w:b/>
      <w:bCs/>
      <w:smallCaps/>
      <w:color w:val="0F4761" w:themeColor="accent1" w:themeShade="BF"/>
      <w:spacing w:val="5"/>
    </w:rPr>
  </w:style>
  <w:style w:type="table" w:styleId="TableGrid">
    <w:name w:val="Table Grid"/>
    <w:basedOn w:val="TableNormal"/>
    <w:uiPriority w:val="39"/>
    <w:rsid w:val="00F4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6953">
      <w:bodyDiv w:val="1"/>
      <w:marLeft w:val="0"/>
      <w:marRight w:val="0"/>
      <w:marTop w:val="0"/>
      <w:marBottom w:val="0"/>
      <w:divBdr>
        <w:top w:val="none" w:sz="0" w:space="0" w:color="auto"/>
        <w:left w:val="none" w:sz="0" w:space="0" w:color="auto"/>
        <w:bottom w:val="none" w:sz="0" w:space="0" w:color="auto"/>
        <w:right w:val="none" w:sz="0" w:space="0" w:color="auto"/>
      </w:divBdr>
    </w:div>
    <w:div w:id="340281380">
      <w:bodyDiv w:val="1"/>
      <w:marLeft w:val="0"/>
      <w:marRight w:val="0"/>
      <w:marTop w:val="0"/>
      <w:marBottom w:val="0"/>
      <w:divBdr>
        <w:top w:val="none" w:sz="0" w:space="0" w:color="auto"/>
        <w:left w:val="none" w:sz="0" w:space="0" w:color="auto"/>
        <w:bottom w:val="none" w:sz="0" w:space="0" w:color="auto"/>
        <w:right w:val="none" w:sz="0" w:space="0" w:color="auto"/>
      </w:divBdr>
    </w:div>
    <w:div w:id="763654116">
      <w:bodyDiv w:val="1"/>
      <w:marLeft w:val="0"/>
      <w:marRight w:val="0"/>
      <w:marTop w:val="0"/>
      <w:marBottom w:val="0"/>
      <w:divBdr>
        <w:top w:val="none" w:sz="0" w:space="0" w:color="auto"/>
        <w:left w:val="none" w:sz="0" w:space="0" w:color="auto"/>
        <w:bottom w:val="none" w:sz="0" w:space="0" w:color="auto"/>
        <w:right w:val="none" w:sz="0" w:space="0" w:color="auto"/>
      </w:divBdr>
    </w:div>
    <w:div w:id="1075936711">
      <w:bodyDiv w:val="1"/>
      <w:marLeft w:val="0"/>
      <w:marRight w:val="0"/>
      <w:marTop w:val="0"/>
      <w:marBottom w:val="0"/>
      <w:divBdr>
        <w:top w:val="none" w:sz="0" w:space="0" w:color="auto"/>
        <w:left w:val="none" w:sz="0" w:space="0" w:color="auto"/>
        <w:bottom w:val="none" w:sz="0" w:space="0" w:color="auto"/>
        <w:right w:val="none" w:sz="0" w:space="0" w:color="auto"/>
      </w:divBdr>
    </w:div>
    <w:div w:id="1251886503">
      <w:bodyDiv w:val="1"/>
      <w:marLeft w:val="0"/>
      <w:marRight w:val="0"/>
      <w:marTop w:val="0"/>
      <w:marBottom w:val="0"/>
      <w:divBdr>
        <w:top w:val="none" w:sz="0" w:space="0" w:color="auto"/>
        <w:left w:val="none" w:sz="0" w:space="0" w:color="auto"/>
        <w:bottom w:val="none" w:sz="0" w:space="0" w:color="auto"/>
        <w:right w:val="none" w:sz="0" w:space="0" w:color="auto"/>
      </w:divBdr>
    </w:div>
    <w:div w:id="1420560561">
      <w:bodyDiv w:val="1"/>
      <w:marLeft w:val="0"/>
      <w:marRight w:val="0"/>
      <w:marTop w:val="0"/>
      <w:marBottom w:val="0"/>
      <w:divBdr>
        <w:top w:val="none" w:sz="0" w:space="0" w:color="auto"/>
        <w:left w:val="none" w:sz="0" w:space="0" w:color="auto"/>
        <w:bottom w:val="none" w:sz="0" w:space="0" w:color="auto"/>
        <w:right w:val="none" w:sz="0" w:space="0" w:color="auto"/>
      </w:divBdr>
    </w:div>
    <w:div w:id="1450203902">
      <w:bodyDiv w:val="1"/>
      <w:marLeft w:val="0"/>
      <w:marRight w:val="0"/>
      <w:marTop w:val="0"/>
      <w:marBottom w:val="0"/>
      <w:divBdr>
        <w:top w:val="none" w:sz="0" w:space="0" w:color="auto"/>
        <w:left w:val="none" w:sz="0" w:space="0" w:color="auto"/>
        <w:bottom w:val="none" w:sz="0" w:space="0" w:color="auto"/>
        <w:right w:val="none" w:sz="0" w:space="0" w:color="auto"/>
      </w:divBdr>
    </w:div>
    <w:div w:id="1605191058">
      <w:bodyDiv w:val="1"/>
      <w:marLeft w:val="0"/>
      <w:marRight w:val="0"/>
      <w:marTop w:val="0"/>
      <w:marBottom w:val="0"/>
      <w:divBdr>
        <w:top w:val="none" w:sz="0" w:space="0" w:color="auto"/>
        <w:left w:val="none" w:sz="0" w:space="0" w:color="auto"/>
        <w:bottom w:val="none" w:sz="0" w:space="0" w:color="auto"/>
        <w:right w:val="none" w:sz="0" w:space="0" w:color="auto"/>
      </w:divBdr>
    </w:div>
    <w:div w:id="1795831664">
      <w:bodyDiv w:val="1"/>
      <w:marLeft w:val="0"/>
      <w:marRight w:val="0"/>
      <w:marTop w:val="0"/>
      <w:marBottom w:val="0"/>
      <w:divBdr>
        <w:top w:val="none" w:sz="0" w:space="0" w:color="auto"/>
        <w:left w:val="none" w:sz="0" w:space="0" w:color="auto"/>
        <w:bottom w:val="none" w:sz="0" w:space="0" w:color="auto"/>
        <w:right w:val="none" w:sz="0" w:space="0" w:color="auto"/>
      </w:divBdr>
    </w:div>
    <w:div w:id="200959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Ropafadzo Mushayi</dc:creator>
  <cp:keywords/>
  <dc:description/>
  <cp:lastModifiedBy>Ropafadzo Mushayi</cp:lastModifiedBy>
  <cp:revision>23</cp:revision>
  <dcterms:created xsi:type="dcterms:W3CDTF">2025-03-27T03:36:00Z</dcterms:created>
  <dcterms:modified xsi:type="dcterms:W3CDTF">2025-07-28T03:08:00Z</dcterms:modified>
</cp:coreProperties>
</file>