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03582">
      <w:pPr>
        <w:pStyle w:val="3"/>
        <w:bidi w:val="0"/>
        <w:jc w:val="center"/>
        <w:rPr>
          <w:rFonts w:hint="eastAsia"/>
          <w:lang w:val="en-US" w:eastAsia="zh-CN"/>
        </w:rPr>
      </w:pPr>
      <w:r>
        <w:t>盐碱胁迫对植物的影响及抗性机制研究进展</w:t>
      </w:r>
      <w:r>
        <w:rPr>
          <w:rFonts w:hint="eastAsia"/>
          <w:lang w:val="en-US" w:eastAsia="zh-CN"/>
        </w:rPr>
        <w:t>综述</w:t>
      </w:r>
    </w:p>
    <w:p w14:paraId="7EDABFCB">
      <w:pPr>
        <w:bidi w:val="0"/>
        <w:jc w:val="center"/>
        <w:rPr>
          <w:b/>
          <w:bCs/>
          <w:sz w:val="28"/>
          <w:szCs w:val="28"/>
        </w:rPr>
      </w:pPr>
      <w:r>
        <w:rPr>
          <w:b/>
          <w:bCs/>
          <w:sz w:val="28"/>
          <w:szCs w:val="28"/>
        </w:rPr>
        <w:t>摘要</w:t>
      </w:r>
    </w:p>
    <w:p w14:paraId="63493D48">
      <w:pPr>
        <w:bidi w:val="0"/>
        <w:ind w:firstLine="420" w:firstLineChars="0"/>
      </w:pPr>
      <w:r>
        <w:t>盐碱胁迫是限制植物生长和农业生产的重要环境因素之一。它不仅影响植物的水分吸收、营养代谢，还导致氧化胁迫，从而严重抑制植物的正常生长发育。近年来，植物对盐碱胁迫的抗性机制成为研究的热点，主要包括离子平衡调节、渗透调节、抗氧化防御系统、激素信号以及基因表达调控等方面。本文综述了盐碱胁迫对植物的主要影响以及植物对盐碱胁迫的抗性机制研究进展，以期为抗盐碱植物的培育和改良提供理论依据。</w:t>
      </w:r>
    </w:p>
    <w:p w14:paraId="164BD459">
      <w:pPr>
        <w:bidi w:val="0"/>
        <w:rPr>
          <w:rFonts w:hint="default" w:eastAsiaTheme="minorEastAsia"/>
          <w:lang w:val="en-US" w:eastAsia="zh-CN"/>
        </w:rPr>
      </w:pPr>
      <w:r>
        <w:rPr>
          <w:rFonts w:hint="eastAsia"/>
          <w:b/>
          <w:bCs/>
          <w:lang w:val="en-US" w:eastAsia="zh-CN"/>
        </w:rPr>
        <w:t>关键词</w:t>
      </w:r>
      <w:r>
        <w:rPr>
          <w:rFonts w:hint="eastAsia"/>
          <w:lang w:val="en-US" w:eastAsia="zh-CN"/>
        </w:rPr>
        <w:t>：盐碱胁迫；植物；抗盐碱手段</w:t>
      </w:r>
    </w:p>
    <w:p w14:paraId="37986B10">
      <w:pPr>
        <w:bidi w:val="0"/>
      </w:pPr>
    </w:p>
    <w:p w14:paraId="223802BC">
      <w:pPr>
        <w:bidi w:val="0"/>
      </w:pPr>
    </w:p>
    <w:p w14:paraId="6CA2EA07">
      <w:pPr>
        <w:numPr>
          <w:ilvl w:val="0"/>
          <w:numId w:val="1"/>
        </w:numPr>
        <w:bidi w:val="0"/>
      </w:pPr>
      <w:r>
        <w:t>引言</w:t>
      </w:r>
    </w:p>
    <w:p w14:paraId="791337CF">
      <w:pPr>
        <w:numPr>
          <w:ilvl w:val="0"/>
          <w:numId w:val="0"/>
        </w:numPr>
        <w:bidi w:val="0"/>
      </w:pPr>
    </w:p>
    <w:p w14:paraId="6954A3C1">
      <w:pPr>
        <w:bidi w:val="0"/>
        <w:ind w:firstLine="420" w:firstLineChars="0"/>
      </w:pPr>
      <w:r>
        <w:t>全球范围内盐碱化土地的面积正不断扩大，已严重威胁到农业可持续发展。土壤盐碱胁迫是由高浓度盐分（如NaCl）和高碱性（如NaHCO3）共同作用造成的，通常包括盐胁迫和碱胁迫两种成分。盐碱胁迫不仅影响作物产量，还对生态系统造成破坏。因此，研究植物在盐碱胁迫下的生理、分子响应及抗性机制具有重要的理论和实践意义。</w:t>
      </w:r>
    </w:p>
    <w:p w14:paraId="388CD7C0">
      <w:pPr>
        <w:bidi w:val="0"/>
      </w:pPr>
    </w:p>
    <w:p w14:paraId="4064EE67">
      <w:pPr>
        <w:numPr>
          <w:ilvl w:val="0"/>
          <w:numId w:val="2"/>
        </w:numPr>
        <w:bidi w:val="0"/>
      </w:pPr>
      <w:r>
        <w:t>盐碱胁迫对植物</w:t>
      </w:r>
      <w:r>
        <w:rPr>
          <w:rFonts w:hint="eastAsia"/>
          <w:lang w:val="en-US" w:eastAsia="zh-CN"/>
        </w:rPr>
        <w:t>代谢</w:t>
      </w:r>
      <w:r>
        <w:t>影响</w:t>
      </w:r>
    </w:p>
    <w:p w14:paraId="4493D42B">
      <w:pPr>
        <w:numPr>
          <w:ilvl w:val="0"/>
          <w:numId w:val="0"/>
        </w:numPr>
        <w:bidi w:val="0"/>
      </w:pPr>
    </w:p>
    <w:p w14:paraId="2931560C">
      <w:pPr>
        <w:bidi w:val="0"/>
        <w:ind w:firstLine="420" w:firstLineChars="0"/>
      </w:pPr>
      <w:r>
        <w:t>盐碱胁迫通过离子动态失衡和膜系统损伤对植物造成危害。Na+的过度积累与K+吸收受阻产生离子毒害，破坏细胞内营养离子平衡；同时，膜透性增加导致营养元素外流、膜脂过氧化及活性氧积累，进一步加剧氧化胁迫和渗透胁迫，从而严重影响植物的生长发育。</w:t>
      </w:r>
    </w:p>
    <w:p w14:paraId="090264D4">
      <w:pPr>
        <w:bidi w:val="0"/>
        <w:ind w:firstLine="420" w:firstLineChars="0"/>
      </w:pPr>
    </w:p>
    <w:p w14:paraId="46803EBF">
      <w:pPr>
        <w:bidi w:val="0"/>
        <w:rPr>
          <w:rFonts w:hint="default" w:eastAsiaTheme="minorEastAsia"/>
          <w:lang w:val="en-US" w:eastAsia="zh-CN"/>
        </w:rPr>
      </w:pPr>
      <w:r>
        <w:t xml:space="preserve">2.1 </w:t>
      </w:r>
      <w:r>
        <w:rPr>
          <w:rFonts w:hint="eastAsia"/>
          <w:lang w:val="en-US" w:eastAsia="zh-CN"/>
        </w:rPr>
        <w:t>胁迫诱导离子伤害</w:t>
      </w:r>
    </w:p>
    <w:p w14:paraId="7A049CDB">
      <w:pPr>
        <w:bidi w:val="0"/>
      </w:pPr>
    </w:p>
    <w:p w14:paraId="1519C5FD">
      <w:pPr>
        <w:keepNext w:val="0"/>
        <w:keepLines w:val="0"/>
        <w:widowControl/>
        <w:suppressLineNumbers w:val="0"/>
        <w:ind w:firstLine="420" w:firstLineChars="0"/>
        <w:jc w:val="left"/>
        <w:rPr>
          <w:rFonts w:hint="default" w:ascii="宋体" w:hAnsi="宋体" w:eastAsia="宋体" w:cs="宋体"/>
          <w:lang w:val="en-US"/>
        </w:rPr>
      </w:pPr>
      <w:r>
        <w:rPr>
          <w:rFonts w:hint="eastAsia" w:ascii="宋体" w:hAnsi="宋体" w:eastAsia="宋体" w:cs="宋体"/>
          <w:color w:val="231F20"/>
          <w:kern w:val="0"/>
          <w:sz w:val="21"/>
          <w:szCs w:val="21"/>
          <w:lang w:val="en-US" w:eastAsia="zh-CN" w:bidi="ar"/>
        </w:rPr>
        <w:t>离子伤害是在逆境胁迫下某些离子在植物体内过度积累而对植物造成毒害。植物的正常生长发育必须在营养物质充足的环境中才能进行，盐碱逆境破坏了植物体内离子间动态平衡，这种平衡的破坏主要是通过影响各种离子在植物细胞内的分布，使细胞内正常离子动态失衡，导致Na</w:t>
      </w:r>
      <w:r>
        <w:rPr>
          <w:rFonts w:hint="eastAsia" w:ascii="宋体" w:hAnsi="宋体" w:eastAsia="宋体" w:cs="宋体"/>
          <w:color w:val="231F20"/>
          <w:kern w:val="0"/>
          <w:sz w:val="11"/>
          <w:szCs w:val="11"/>
          <w:lang w:val="en-US" w:eastAsia="zh-CN" w:bidi="ar"/>
        </w:rPr>
        <w:t>+</w:t>
      </w:r>
      <w:r>
        <w:rPr>
          <w:rFonts w:hint="eastAsia" w:ascii="宋体" w:hAnsi="宋体" w:eastAsia="宋体" w:cs="宋体"/>
          <w:color w:val="231F20"/>
          <w:kern w:val="0"/>
          <w:sz w:val="21"/>
          <w:szCs w:val="21"/>
          <w:lang w:val="en-US" w:eastAsia="zh-CN" w:bidi="ar"/>
        </w:rPr>
        <w:t>大量聚集而K</w:t>
      </w:r>
      <w:r>
        <w:rPr>
          <w:rFonts w:hint="eastAsia" w:ascii="宋体" w:hAnsi="宋体" w:eastAsia="宋体" w:cs="宋体"/>
          <w:color w:val="231F20"/>
          <w:kern w:val="0"/>
          <w:sz w:val="11"/>
          <w:szCs w:val="11"/>
          <w:lang w:val="en-US" w:eastAsia="zh-CN" w:bidi="ar"/>
        </w:rPr>
        <w:t>+</w:t>
      </w:r>
      <w:r>
        <w:rPr>
          <w:rFonts w:hint="eastAsia" w:ascii="宋体" w:hAnsi="宋体" w:eastAsia="宋体" w:cs="宋体"/>
          <w:color w:val="231F20"/>
          <w:kern w:val="0"/>
          <w:sz w:val="21"/>
          <w:szCs w:val="21"/>
          <w:lang w:val="en-US" w:eastAsia="zh-CN" w:bidi="ar"/>
        </w:rPr>
        <w:t>吸收困难，二者造成拮抗，产生离子毒害，植物的生长发育受到严重影响</w:t>
      </w:r>
      <w:r>
        <w:rPr>
          <w:rFonts w:hint="eastAsia" w:ascii="宋体" w:hAnsi="宋体" w:eastAsia="宋体" w:cs="宋体"/>
          <w:color w:val="231F20"/>
          <w:kern w:val="0"/>
          <w:sz w:val="21"/>
          <w:szCs w:val="21"/>
          <w:vertAlign w:val="superscript"/>
          <w:lang w:val="en-US" w:eastAsia="zh-CN" w:bidi="ar"/>
        </w:rPr>
        <w:fldChar w:fldCharType="begin"/>
      </w:r>
      <w:r>
        <w:rPr>
          <w:rFonts w:hint="eastAsia" w:ascii="宋体" w:hAnsi="宋体" w:eastAsia="宋体" w:cs="宋体"/>
          <w:color w:val="231F20"/>
          <w:kern w:val="0"/>
          <w:sz w:val="21"/>
          <w:szCs w:val="21"/>
          <w:vertAlign w:val="superscript"/>
          <w:lang w:val="en-US" w:eastAsia="zh-CN" w:bidi="ar"/>
        </w:rPr>
        <w:instrText xml:space="preserve"> REF _Ref9510 \r \h </w:instrText>
      </w:r>
      <w:r>
        <w:rPr>
          <w:rFonts w:hint="eastAsia" w:ascii="宋体" w:hAnsi="宋体" w:eastAsia="宋体" w:cs="宋体"/>
          <w:color w:val="231F20"/>
          <w:kern w:val="0"/>
          <w:sz w:val="21"/>
          <w:szCs w:val="21"/>
          <w:vertAlign w:val="superscript"/>
          <w:lang w:val="en-US" w:eastAsia="zh-CN" w:bidi="ar"/>
        </w:rPr>
        <w:fldChar w:fldCharType="separate"/>
      </w:r>
      <w:r>
        <w:rPr>
          <w:rFonts w:hint="eastAsia" w:ascii="宋体" w:hAnsi="宋体" w:eastAsia="宋体" w:cs="宋体"/>
          <w:color w:val="231F20"/>
          <w:kern w:val="0"/>
          <w:sz w:val="21"/>
          <w:szCs w:val="21"/>
          <w:vertAlign w:val="superscript"/>
          <w:lang w:val="en-US" w:eastAsia="zh-CN" w:bidi="ar"/>
        </w:rPr>
        <w:t>[1]</w:t>
      </w:r>
      <w:r>
        <w:rPr>
          <w:rFonts w:hint="eastAsia" w:ascii="宋体" w:hAnsi="宋体" w:eastAsia="宋体" w:cs="宋体"/>
          <w:color w:val="231F20"/>
          <w:kern w:val="0"/>
          <w:sz w:val="21"/>
          <w:szCs w:val="21"/>
          <w:vertAlign w:val="superscript"/>
          <w:lang w:val="en-US" w:eastAsia="zh-CN" w:bidi="ar"/>
        </w:rPr>
        <w:fldChar w:fldCharType="end"/>
      </w:r>
    </w:p>
    <w:p w14:paraId="1141ECC3">
      <w:pPr>
        <w:bidi w:val="0"/>
      </w:pPr>
    </w:p>
    <w:p w14:paraId="054CBFEE">
      <w:pPr>
        <w:keepNext w:val="0"/>
        <w:keepLines w:val="0"/>
        <w:widowControl/>
        <w:suppressLineNumbers w:val="0"/>
        <w:jc w:val="left"/>
      </w:pPr>
      <w:r>
        <w:t xml:space="preserve">2.2 </w:t>
      </w:r>
      <w:r>
        <w:rPr>
          <w:rFonts w:ascii="KTJ" w:hAnsi="KTJ" w:eastAsia="KTJ" w:cs="KTJ"/>
          <w:color w:val="231F20"/>
          <w:kern w:val="0"/>
          <w:sz w:val="21"/>
          <w:szCs w:val="21"/>
          <w:lang w:val="en-US" w:eastAsia="zh-CN" w:bidi="ar"/>
        </w:rPr>
        <w:t>胁迫诱导对膜系统的伤害</w:t>
      </w:r>
    </w:p>
    <w:p w14:paraId="7C649C02">
      <w:pPr>
        <w:bidi w:val="0"/>
      </w:pPr>
    </w:p>
    <w:p w14:paraId="5DE549DA">
      <w:pPr>
        <w:keepNext w:val="0"/>
        <w:keepLines w:val="0"/>
        <w:widowControl/>
        <w:suppressLineNumbers w:val="0"/>
        <w:ind w:firstLine="420" w:firstLineChars="0"/>
        <w:jc w:val="left"/>
        <w:rPr>
          <w:rFonts w:hint="eastAsia" w:ascii="宋体" w:hAnsi="宋体" w:eastAsia="宋体" w:cs="宋体"/>
        </w:rPr>
      </w:pPr>
      <w:r>
        <w:rPr>
          <w:rFonts w:hint="eastAsia" w:ascii="宋体" w:hAnsi="宋体" w:eastAsia="宋体" w:cs="宋体"/>
          <w:color w:val="231F20"/>
          <w:kern w:val="0"/>
          <w:sz w:val="21"/>
          <w:szCs w:val="21"/>
          <w:lang w:val="en-US" w:eastAsia="zh-CN" w:bidi="ar"/>
        </w:rPr>
        <w:t>膜系统伤害是植物在逆境胁迫下，体内积累过多的有害离子，膜透性破坏，细胞内大量营养元素外流，膜脂过氧化程度及电导率升高，对植物造成的伤害。盐碱土壤中金属离子及pH含量过高，高盐碱环境下细胞质中金属离子（特别是Na</w:t>
      </w:r>
      <w:r>
        <w:rPr>
          <w:rFonts w:hint="eastAsia" w:ascii="宋体" w:hAnsi="宋体" w:eastAsia="宋体" w:cs="宋体"/>
          <w:color w:val="231F20"/>
          <w:kern w:val="0"/>
          <w:sz w:val="11"/>
          <w:szCs w:val="11"/>
          <w:lang w:val="en-US" w:eastAsia="zh-CN" w:bidi="ar"/>
        </w:rPr>
        <w:t>+</w:t>
      </w:r>
      <w:r>
        <w:rPr>
          <w:rFonts w:hint="eastAsia" w:ascii="宋体" w:hAnsi="宋体" w:eastAsia="宋体" w:cs="宋体"/>
          <w:color w:val="231F20"/>
          <w:kern w:val="0"/>
          <w:sz w:val="21"/>
          <w:szCs w:val="21"/>
          <w:lang w:val="en-US" w:eastAsia="zh-CN" w:bidi="ar"/>
        </w:rPr>
        <w:t>）的大量积累，使细胞内营养离子平衡破坏，引起渗透胁迫，并产生大量的活性氧，造成氧化胁迫；同时，盐碱胁迫下产生Na</w:t>
      </w:r>
      <w:r>
        <w:rPr>
          <w:rFonts w:hint="eastAsia" w:ascii="宋体" w:hAnsi="宋体" w:eastAsia="宋体" w:cs="宋体"/>
          <w:color w:val="231F20"/>
          <w:kern w:val="0"/>
          <w:sz w:val="11"/>
          <w:szCs w:val="11"/>
          <w:lang w:val="en-US" w:eastAsia="zh-CN" w:bidi="ar"/>
        </w:rPr>
        <w:t>+</w:t>
      </w:r>
      <w:r>
        <w:rPr>
          <w:rFonts w:hint="eastAsia" w:ascii="宋体" w:hAnsi="宋体" w:eastAsia="宋体" w:cs="宋体"/>
          <w:color w:val="231F20"/>
          <w:kern w:val="0"/>
          <w:sz w:val="21"/>
          <w:szCs w:val="21"/>
          <w:lang w:val="en-US" w:eastAsia="zh-CN" w:bidi="ar"/>
        </w:rPr>
        <w:t>毒害并在细胞内大量累积，造成植物细胞膜透性增大</w:t>
      </w:r>
      <w:r>
        <w:rPr>
          <w:rFonts w:hint="eastAsia" w:ascii="宋体" w:hAnsi="宋体" w:eastAsia="宋体" w:cs="宋体"/>
          <w:color w:val="231F20"/>
          <w:kern w:val="0"/>
          <w:sz w:val="21"/>
          <w:szCs w:val="21"/>
          <w:vertAlign w:val="superscript"/>
          <w:lang w:val="en-US" w:eastAsia="zh-CN" w:bidi="ar"/>
        </w:rPr>
        <w:fldChar w:fldCharType="begin"/>
      </w:r>
      <w:r>
        <w:rPr>
          <w:rFonts w:hint="eastAsia" w:ascii="宋体" w:hAnsi="宋体" w:eastAsia="宋体" w:cs="宋体"/>
          <w:color w:val="231F20"/>
          <w:kern w:val="0"/>
          <w:sz w:val="21"/>
          <w:szCs w:val="21"/>
          <w:vertAlign w:val="superscript"/>
          <w:lang w:val="en-US" w:eastAsia="zh-CN" w:bidi="ar"/>
        </w:rPr>
        <w:instrText xml:space="preserve"> REF _Ref9585 \r \h </w:instrText>
      </w:r>
      <w:r>
        <w:rPr>
          <w:rFonts w:hint="eastAsia" w:ascii="宋体" w:hAnsi="宋体" w:eastAsia="宋体" w:cs="宋体"/>
          <w:color w:val="231F20"/>
          <w:kern w:val="0"/>
          <w:sz w:val="21"/>
          <w:szCs w:val="21"/>
          <w:vertAlign w:val="superscript"/>
          <w:lang w:val="en-US" w:eastAsia="zh-CN" w:bidi="ar"/>
        </w:rPr>
        <w:fldChar w:fldCharType="separate"/>
      </w:r>
      <w:r>
        <w:rPr>
          <w:rFonts w:hint="eastAsia" w:ascii="宋体" w:hAnsi="宋体" w:eastAsia="宋体" w:cs="宋体"/>
          <w:color w:val="231F20"/>
          <w:kern w:val="0"/>
          <w:sz w:val="21"/>
          <w:szCs w:val="21"/>
          <w:vertAlign w:val="superscript"/>
          <w:lang w:val="en-US" w:eastAsia="zh-CN" w:bidi="ar"/>
        </w:rPr>
        <w:t>[2]</w:t>
      </w:r>
      <w:r>
        <w:rPr>
          <w:rFonts w:hint="eastAsia" w:ascii="宋体" w:hAnsi="宋体" w:eastAsia="宋体" w:cs="宋体"/>
          <w:color w:val="231F20"/>
          <w:kern w:val="0"/>
          <w:sz w:val="21"/>
          <w:szCs w:val="21"/>
          <w:vertAlign w:val="superscript"/>
          <w:lang w:val="en-US" w:eastAsia="zh-CN" w:bidi="ar"/>
        </w:rPr>
        <w:fldChar w:fldCharType="end"/>
      </w:r>
      <w:r>
        <w:rPr>
          <w:rFonts w:hint="eastAsia" w:ascii="宋体" w:hAnsi="宋体" w:eastAsia="宋体" w:cs="宋体"/>
          <w:color w:val="231F20"/>
          <w:kern w:val="0"/>
          <w:sz w:val="21"/>
          <w:szCs w:val="21"/>
          <w:lang w:val="en-US" w:eastAsia="zh-CN" w:bidi="ar"/>
        </w:rPr>
        <w:t>，细胞内MDA含量的大量累积。对植物根系吸水及细胞质膜造成较大伤害。</w:t>
      </w:r>
    </w:p>
    <w:p w14:paraId="7EE9A278"/>
    <w:p w14:paraId="5B618E76">
      <w:pPr>
        <w:bidi w:val="0"/>
      </w:pPr>
    </w:p>
    <w:p w14:paraId="40B3B2CB">
      <w:pPr>
        <w:keepNext w:val="0"/>
        <w:keepLines w:val="0"/>
        <w:widowControl/>
        <w:suppressLineNumbers w:val="0"/>
        <w:jc w:val="left"/>
      </w:pPr>
      <w:r>
        <w:t xml:space="preserve">3. </w:t>
      </w:r>
      <w:r>
        <w:rPr>
          <w:rFonts w:ascii="KTJ" w:hAnsi="KTJ" w:eastAsia="KTJ" w:cs="KTJ"/>
          <w:color w:val="231F20"/>
          <w:kern w:val="0"/>
          <w:sz w:val="21"/>
          <w:szCs w:val="21"/>
          <w:lang w:val="en-US" w:eastAsia="zh-CN" w:bidi="ar"/>
        </w:rPr>
        <w:t>提高植物抗盐碱能力技术手段</w:t>
      </w:r>
    </w:p>
    <w:p w14:paraId="1D22EE23">
      <w:pPr>
        <w:bidi w:val="0"/>
      </w:pPr>
    </w:p>
    <w:p w14:paraId="07CE6162">
      <w:pPr>
        <w:keepNext w:val="0"/>
        <w:keepLines w:val="0"/>
        <w:widowControl/>
        <w:suppressLineNumbers w:val="0"/>
        <w:ind w:firstLine="420" w:firstLineChars="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为了提高植物的抗盐碱能力，可通过外源物质导入和抗盐碱品种选育等方法实现。外源物质如生长素（IAA）、细胞分裂素（CTK）等生长类激素，以及脱落酸（ABA）、乙烯等抑制类激素和脯氨酸等调节物质，能够有效调控植物生长和抗逆性。此外，抗盐碱品种的选育可通过品种间杂交、引种、基因转育、突变体筛选等手段完成，其中传统方法侧重表型选择，而现代分子生物学方法则关注基因表达与遗传机制，例如拟南芥和白三叶的抗盐碱性改良以及突变体耐盐植株的成功培育均为典型实例。</w:t>
      </w:r>
    </w:p>
    <w:p w14:paraId="06691A59">
      <w:pPr>
        <w:bidi w:val="0"/>
      </w:pPr>
    </w:p>
    <w:p w14:paraId="7B310800">
      <w:pPr>
        <w:bidi w:val="0"/>
        <w:rPr>
          <w:rFonts w:hint="eastAsia"/>
          <w:lang w:val="en-US" w:eastAsia="zh-CN"/>
        </w:rPr>
      </w:pPr>
      <w:r>
        <w:t xml:space="preserve">3.1 </w:t>
      </w:r>
      <w:r>
        <w:rPr>
          <w:rFonts w:hint="eastAsia"/>
          <w:lang w:val="en-US" w:eastAsia="zh-CN"/>
        </w:rPr>
        <w:t>外源物质导入</w:t>
      </w:r>
    </w:p>
    <w:p w14:paraId="4F8E7651">
      <w:pPr>
        <w:bidi w:val="0"/>
        <w:rPr>
          <w:rFonts w:hint="default"/>
          <w:lang w:val="en-US" w:eastAsia="zh-CN"/>
        </w:rPr>
      </w:pPr>
    </w:p>
    <w:p w14:paraId="1CCF9DBA">
      <w:pPr>
        <w:keepNext w:val="0"/>
        <w:keepLines w:val="0"/>
        <w:widowControl/>
        <w:suppressLineNumbers w:val="0"/>
        <w:ind w:firstLine="420" w:firstLineChars="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植物在逆境胁迫下为了提高其抗逆性，外源物质导入是行之有效的手段之一，但不同的外源物质其作用机制有所不同，目前研究普遍认为并达成共识的与抗盐碱有关的促进植物生长发育的有生长素（IAA）、细胞分裂素（CTK）等生长类激素，促使植物衰老的有脱落酸（ABA）、乙烯等抑制类激素</w:t>
      </w:r>
      <w:r>
        <w:rPr>
          <w:rFonts w:hint="eastAsia" w:ascii="宋体" w:hAnsi="宋体" w:eastAsia="宋体" w:cs="宋体"/>
          <w:color w:val="231F20"/>
          <w:kern w:val="0"/>
          <w:sz w:val="21"/>
          <w:szCs w:val="21"/>
          <w:vertAlign w:val="superscript"/>
          <w:lang w:val="en-US" w:eastAsia="zh-CN" w:bidi="ar"/>
        </w:rPr>
        <w:fldChar w:fldCharType="begin"/>
      </w:r>
      <w:r>
        <w:rPr>
          <w:rFonts w:hint="eastAsia" w:ascii="宋体" w:hAnsi="宋体" w:eastAsia="宋体" w:cs="宋体"/>
          <w:color w:val="231F20"/>
          <w:kern w:val="0"/>
          <w:sz w:val="21"/>
          <w:szCs w:val="21"/>
          <w:vertAlign w:val="superscript"/>
          <w:lang w:val="en-US" w:eastAsia="zh-CN" w:bidi="ar"/>
        </w:rPr>
        <w:instrText xml:space="preserve"> REF _Ref9663 \r \h </w:instrText>
      </w:r>
      <w:r>
        <w:rPr>
          <w:rFonts w:hint="eastAsia" w:ascii="宋体" w:hAnsi="宋体" w:eastAsia="宋体" w:cs="宋体"/>
          <w:color w:val="231F20"/>
          <w:kern w:val="0"/>
          <w:sz w:val="21"/>
          <w:szCs w:val="21"/>
          <w:vertAlign w:val="superscript"/>
          <w:lang w:val="en-US" w:eastAsia="zh-CN" w:bidi="ar"/>
        </w:rPr>
        <w:fldChar w:fldCharType="separate"/>
      </w:r>
      <w:r>
        <w:rPr>
          <w:rFonts w:hint="eastAsia" w:ascii="宋体" w:hAnsi="宋体" w:eastAsia="宋体" w:cs="宋体"/>
          <w:color w:val="231F20"/>
          <w:kern w:val="0"/>
          <w:sz w:val="21"/>
          <w:szCs w:val="21"/>
          <w:vertAlign w:val="superscript"/>
          <w:lang w:val="en-US" w:eastAsia="zh-CN" w:bidi="ar"/>
        </w:rPr>
        <w:t>[3]</w:t>
      </w:r>
      <w:r>
        <w:rPr>
          <w:rFonts w:hint="eastAsia" w:ascii="宋体" w:hAnsi="宋体" w:eastAsia="宋体" w:cs="宋体"/>
          <w:color w:val="231F20"/>
          <w:kern w:val="0"/>
          <w:sz w:val="21"/>
          <w:szCs w:val="21"/>
          <w:vertAlign w:val="superscript"/>
          <w:lang w:val="en-US" w:eastAsia="zh-CN" w:bidi="ar"/>
        </w:rPr>
        <w:fldChar w:fldCharType="end"/>
      </w:r>
      <w:r>
        <w:rPr>
          <w:rFonts w:hint="eastAsia" w:ascii="宋体" w:hAnsi="宋体" w:eastAsia="宋体" w:cs="宋体"/>
          <w:color w:val="231F20"/>
          <w:kern w:val="0"/>
          <w:sz w:val="21"/>
          <w:szCs w:val="21"/>
          <w:lang w:val="en-US" w:eastAsia="zh-CN" w:bidi="ar"/>
        </w:rPr>
        <w:t>，以及脯氨酸等外源生长调节物质等等。</w:t>
      </w:r>
    </w:p>
    <w:p w14:paraId="79BD5E3C">
      <w:pPr>
        <w:keepNext w:val="0"/>
        <w:keepLines w:val="0"/>
        <w:widowControl/>
        <w:suppressLineNumbers w:val="0"/>
        <w:ind w:firstLine="420" w:firstLineChars="0"/>
        <w:jc w:val="left"/>
        <w:rPr>
          <w:rFonts w:hint="eastAsia" w:ascii="宋体" w:hAnsi="宋体" w:eastAsia="宋体" w:cs="宋体"/>
          <w:color w:val="231F20"/>
          <w:kern w:val="0"/>
          <w:sz w:val="21"/>
          <w:szCs w:val="21"/>
          <w:lang w:val="en-US" w:eastAsia="zh-CN" w:bidi="ar"/>
        </w:rPr>
      </w:pPr>
    </w:p>
    <w:p w14:paraId="41A74602">
      <w:pPr>
        <w:keepNext w:val="0"/>
        <w:keepLines w:val="0"/>
        <w:widowControl/>
        <w:suppressLineNumbers w:val="0"/>
        <w:ind w:firstLine="420" w:firstLineChars="0"/>
        <w:jc w:val="left"/>
        <w:rPr>
          <w:rFonts w:hint="eastAsia" w:ascii="宋体" w:hAnsi="宋体" w:eastAsia="宋体" w:cs="宋体"/>
        </w:rPr>
      </w:pPr>
      <w:r>
        <w:rPr>
          <w:rFonts w:hint="eastAsia" w:ascii="宋体" w:hAnsi="宋体" w:eastAsia="宋体" w:cs="宋体"/>
          <w:color w:val="231F20"/>
          <w:kern w:val="0"/>
          <w:sz w:val="21"/>
          <w:szCs w:val="21"/>
          <w:lang w:val="en-US" w:eastAsia="zh-CN" w:bidi="ar"/>
        </w:rPr>
        <w:t>逆境条件下作物对逆境胁迫应答主要是通过植物激素整合内在发育信号和逆境信号通路来实现的</w:t>
      </w:r>
      <w:r>
        <w:rPr>
          <w:rFonts w:hint="eastAsia" w:ascii="宋体" w:hAnsi="宋体" w:eastAsia="宋体" w:cs="宋体"/>
          <w:color w:val="231F20"/>
          <w:kern w:val="0"/>
          <w:sz w:val="21"/>
          <w:szCs w:val="21"/>
          <w:vertAlign w:val="superscript"/>
          <w:lang w:val="en-US" w:eastAsia="zh-CN" w:bidi="ar"/>
        </w:rPr>
        <w:fldChar w:fldCharType="begin"/>
      </w:r>
      <w:r>
        <w:rPr>
          <w:rFonts w:hint="eastAsia" w:ascii="宋体" w:hAnsi="宋体" w:eastAsia="宋体" w:cs="宋体"/>
          <w:color w:val="231F20"/>
          <w:kern w:val="0"/>
          <w:sz w:val="21"/>
          <w:szCs w:val="21"/>
          <w:vertAlign w:val="superscript"/>
          <w:lang w:val="en-US" w:eastAsia="zh-CN" w:bidi="ar"/>
        </w:rPr>
        <w:instrText xml:space="preserve"> REF _Ref9716 \r \h </w:instrText>
      </w:r>
      <w:r>
        <w:rPr>
          <w:rFonts w:hint="eastAsia" w:ascii="宋体" w:hAnsi="宋体" w:eastAsia="宋体" w:cs="宋体"/>
          <w:color w:val="231F20"/>
          <w:kern w:val="0"/>
          <w:sz w:val="21"/>
          <w:szCs w:val="21"/>
          <w:vertAlign w:val="superscript"/>
          <w:lang w:val="en-US" w:eastAsia="zh-CN" w:bidi="ar"/>
        </w:rPr>
        <w:fldChar w:fldCharType="separate"/>
      </w:r>
      <w:r>
        <w:rPr>
          <w:rFonts w:hint="eastAsia" w:ascii="宋体" w:hAnsi="宋体" w:eastAsia="宋体" w:cs="宋体"/>
          <w:color w:val="231F20"/>
          <w:kern w:val="0"/>
          <w:sz w:val="21"/>
          <w:szCs w:val="21"/>
          <w:vertAlign w:val="superscript"/>
          <w:lang w:val="en-US" w:eastAsia="zh-CN" w:bidi="ar"/>
        </w:rPr>
        <w:t>[4]</w:t>
      </w:r>
      <w:r>
        <w:rPr>
          <w:rFonts w:hint="eastAsia" w:ascii="宋体" w:hAnsi="宋体" w:eastAsia="宋体" w:cs="宋体"/>
          <w:color w:val="231F20"/>
          <w:kern w:val="0"/>
          <w:sz w:val="21"/>
          <w:szCs w:val="21"/>
          <w:vertAlign w:val="superscript"/>
          <w:lang w:val="en-US" w:eastAsia="zh-CN" w:bidi="ar"/>
        </w:rPr>
        <w:fldChar w:fldCharType="end"/>
      </w:r>
      <w:r>
        <w:rPr>
          <w:rFonts w:hint="eastAsia" w:ascii="宋体" w:hAnsi="宋体" w:eastAsia="宋体" w:cs="宋体"/>
          <w:color w:val="231F20"/>
          <w:kern w:val="0"/>
          <w:sz w:val="21"/>
          <w:szCs w:val="21"/>
          <w:lang w:val="en-US" w:eastAsia="zh-CN" w:bidi="ar"/>
        </w:rPr>
        <w:t>。如王敬东等</w:t>
      </w:r>
      <w:r>
        <w:rPr>
          <w:rFonts w:hint="eastAsia" w:ascii="宋体" w:hAnsi="宋体" w:eastAsia="宋体" w:cs="宋体"/>
          <w:color w:val="231F20"/>
          <w:kern w:val="0"/>
          <w:sz w:val="21"/>
          <w:szCs w:val="21"/>
          <w:vertAlign w:val="superscript"/>
          <w:lang w:val="en-US" w:eastAsia="zh-CN" w:bidi="ar"/>
        </w:rPr>
        <w:fldChar w:fldCharType="begin"/>
      </w:r>
      <w:r>
        <w:rPr>
          <w:rFonts w:hint="eastAsia" w:ascii="宋体" w:hAnsi="宋体" w:eastAsia="宋体" w:cs="宋体"/>
          <w:color w:val="231F20"/>
          <w:kern w:val="0"/>
          <w:sz w:val="21"/>
          <w:szCs w:val="21"/>
          <w:vertAlign w:val="superscript"/>
          <w:lang w:val="en-US" w:eastAsia="zh-CN" w:bidi="ar"/>
        </w:rPr>
        <w:instrText xml:space="preserve"> REF _Ref9745 \r \h </w:instrText>
      </w:r>
      <w:r>
        <w:rPr>
          <w:rFonts w:hint="eastAsia" w:ascii="宋体" w:hAnsi="宋体" w:eastAsia="宋体" w:cs="宋体"/>
          <w:color w:val="231F20"/>
          <w:kern w:val="0"/>
          <w:sz w:val="21"/>
          <w:szCs w:val="21"/>
          <w:vertAlign w:val="superscript"/>
          <w:lang w:val="en-US" w:eastAsia="zh-CN" w:bidi="ar"/>
        </w:rPr>
        <w:fldChar w:fldCharType="separate"/>
      </w:r>
      <w:r>
        <w:rPr>
          <w:rFonts w:hint="eastAsia" w:ascii="宋体" w:hAnsi="宋体" w:eastAsia="宋体" w:cs="宋体"/>
          <w:color w:val="231F20"/>
          <w:kern w:val="0"/>
          <w:sz w:val="21"/>
          <w:szCs w:val="21"/>
          <w:vertAlign w:val="superscript"/>
          <w:lang w:val="en-US" w:eastAsia="zh-CN" w:bidi="ar"/>
        </w:rPr>
        <w:t>[5]</w:t>
      </w:r>
      <w:r>
        <w:rPr>
          <w:rFonts w:hint="eastAsia" w:ascii="宋体" w:hAnsi="宋体" w:eastAsia="宋体" w:cs="宋体"/>
          <w:color w:val="231F20"/>
          <w:kern w:val="0"/>
          <w:sz w:val="21"/>
          <w:szCs w:val="21"/>
          <w:vertAlign w:val="superscript"/>
          <w:lang w:val="en-US" w:eastAsia="zh-CN" w:bidi="ar"/>
        </w:rPr>
        <w:fldChar w:fldCharType="end"/>
      </w:r>
      <w:r>
        <w:rPr>
          <w:rFonts w:hint="eastAsia" w:ascii="宋体" w:hAnsi="宋体" w:eastAsia="宋体" w:cs="宋体"/>
          <w:color w:val="231F20"/>
          <w:kern w:val="0"/>
          <w:sz w:val="21"/>
          <w:szCs w:val="21"/>
          <w:lang w:val="en-US" w:eastAsia="zh-CN" w:bidi="ar"/>
        </w:rPr>
        <w:t>研究发现，低盐胁迫下外施IAA可有效提高水稻种子的发芽势。Zhou等</w:t>
      </w:r>
      <w:r>
        <w:rPr>
          <w:rFonts w:hint="eastAsia" w:ascii="宋体" w:hAnsi="宋体" w:eastAsia="宋体" w:cs="宋体"/>
          <w:color w:val="231F20"/>
          <w:kern w:val="0"/>
          <w:sz w:val="21"/>
          <w:szCs w:val="21"/>
          <w:vertAlign w:val="superscript"/>
          <w:lang w:val="en-US" w:eastAsia="zh-CN" w:bidi="ar"/>
        </w:rPr>
        <w:fldChar w:fldCharType="begin"/>
      </w:r>
      <w:r>
        <w:rPr>
          <w:rFonts w:hint="eastAsia" w:ascii="宋体" w:hAnsi="宋体" w:eastAsia="宋体" w:cs="宋体"/>
          <w:color w:val="231F20"/>
          <w:kern w:val="0"/>
          <w:sz w:val="21"/>
          <w:szCs w:val="21"/>
          <w:vertAlign w:val="superscript"/>
          <w:lang w:val="en-US" w:eastAsia="zh-CN" w:bidi="ar"/>
        </w:rPr>
        <w:instrText xml:space="preserve"> REF _Ref9804 \r \h </w:instrText>
      </w:r>
      <w:r>
        <w:rPr>
          <w:rFonts w:hint="eastAsia" w:ascii="宋体" w:hAnsi="宋体" w:eastAsia="宋体" w:cs="宋体"/>
          <w:color w:val="231F20"/>
          <w:kern w:val="0"/>
          <w:sz w:val="21"/>
          <w:szCs w:val="21"/>
          <w:vertAlign w:val="superscript"/>
          <w:lang w:val="en-US" w:eastAsia="zh-CN" w:bidi="ar"/>
        </w:rPr>
        <w:fldChar w:fldCharType="separate"/>
      </w:r>
      <w:r>
        <w:rPr>
          <w:rFonts w:hint="eastAsia" w:ascii="宋体" w:hAnsi="宋体" w:eastAsia="宋体" w:cs="宋体"/>
          <w:color w:val="231F20"/>
          <w:kern w:val="0"/>
          <w:sz w:val="21"/>
          <w:szCs w:val="21"/>
          <w:vertAlign w:val="superscript"/>
          <w:lang w:val="en-US" w:eastAsia="zh-CN" w:bidi="ar"/>
        </w:rPr>
        <w:t>[6]</w:t>
      </w:r>
      <w:r>
        <w:rPr>
          <w:rFonts w:hint="eastAsia" w:ascii="宋体" w:hAnsi="宋体" w:eastAsia="宋体" w:cs="宋体"/>
          <w:color w:val="231F20"/>
          <w:kern w:val="0"/>
          <w:sz w:val="21"/>
          <w:szCs w:val="21"/>
          <w:vertAlign w:val="superscript"/>
          <w:lang w:val="en-US" w:eastAsia="zh-CN" w:bidi="ar"/>
        </w:rPr>
        <w:fldChar w:fldCharType="end"/>
      </w:r>
      <w:r>
        <w:rPr>
          <w:rFonts w:hint="eastAsia" w:ascii="宋体" w:hAnsi="宋体" w:eastAsia="宋体" w:cs="宋体"/>
          <w:color w:val="231F20"/>
          <w:kern w:val="0"/>
          <w:sz w:val="21"/>
          <w:szCs w:val="21"/>
          <w:lang w:val="en-US" w:eastAsia="zh-CN" w:bidi="ar"/>
        </w:rPr>
        <w:t>研究发现，施加外源IAA有利于增加香樟在逆境胁迫下渗透调节物质浓度、自由基活性氧清除和生长环境的改善。蔡美杰等</w:t>
      </w:r>
      <w:r>
        <w:rPr>
          <w:rFonts w:hint="eastAsia" w:ascii="宋体" w:hAnsi="宋体" w:eastAsia="宋体" w:cs="宋体"/>
          <w:color w:val="231F20"/>
          <w:kern w:val="0"/>
          <w:sz w:val="21"/>
          <w:szCs w:val="21"/>
          <w:vertAlign w:val="superscript"/>
          <w:lang w:val="en-US" w:eastAsia="zh-CN" w:bidi="ar"/>
        </w:rPr>
        <w:fldChar w:fldCharType="begin"/>
      </w:r>
      <w:r>
        <w:rPr>
          <w:rFonts w:hint="eastAsia" w:ascii="宋体" w:hAnsi="宋体" w:eastAsia="宋体" w:cs="宋体"/>
          <w:color w:val="231F20"/>
          <w:kern w:val="0"/>
          <w:sz w:val="21"/>
          <w:szCs w:val="21"/>
          <w:vertAlign w:val="superscript"/>
          <w:lang w:val="en-US" w:eastAsia="zh-CN" w:bidi="ar"/>
        </w:rPr>
        <w:instrText xml:space="preserve"> REF _Ref9863 \r \h </w:instrText>
      </w:r>
      <w:r>
        <w:rPr>
          <w:rFonts w:hint="eastAsia" w:ascii="宋体" w:hAnsi="宋体" w:eastAsia="宋体" w:cs="宋体"/>
          <w:color w:val="231F20"/>
          <w:kern w:val="0"/>
          <w:sz w:val="21"/>
          <w:szCs w:val="21"/>
          <w:vertAlign w:val="superscript"/>
          <w:lang w:val="en-US" w:eastAsia="zh-CN" w:bidi="ar"/>
        </w:rPr>
        <w:fldChar w:fldCharType="separate"/>
      </w:r>
      <w:r>
        <w:rPr>
          <w:rFonts w:hint="eastAsia" w:ascii="宋体" w:hAnsi="宋体" w:eastAsia="宋体" w:cs="宋体"/>
          <w:color w:val="231F20"/>
          <w:kern w:val="0"/>
          <w:sz w:val="21"/>
          <w:szCs w:val="21"/>
          <w:vertAlign w:val="superscript"/>
          <w:lang w:val="en-US" w:eastAsia="zh-CN" w:bidi="ar"/>
        </w:rPr>
        <w:t>[7]</w:t>
      </w:r>
      <w:r>
        <w:rPr>
          <w:rFonts w:hint="eastAsia" w:ascii="宋体" w:hAnsi="宋体" w:eastAsia="宋体" w:cs="宋体"/>
          <w:color w:val="231F20"/>
          <w:kern w:val="0"/>
          <w:sz w:val="21"/>
          <w:szCs w:val="21"/>
          <w:vertAlign w:val="superscript"/>
          <w:lang w:val="en-US" w:eastAsia="zh-CN" w:bidi="ar"/>
        </w:rPr>
        <w:fldChar w:fldCharType="end"/>
      </w:r>
      <w:r>
        <w:rPr>
          <w:rFonts w:hint="eastAsia" w:ascii="宋体" w:hAnsi="宋体" w:eastAsia="宋体" w:cs="宋体"/>
          <w:color w:val="231F20"/>
          <w:kern w:val="0"/>
          <w:sz w:val="21"/>
          <w:szCs w:val="21"/>
          <w:lang w:val="en-US" w:eastAsia="zh-CN" w:bidi="ar"/>
        </w:rPr>
        <w:t>研究盐胁迫甘蓝DH12-3幼苗时发现，添加低浓度的细胞分裂素有利于增加甘蓝DH12-3子叶重量、叶绿素、可溶性糖含量及核酮糖二磷酸羧化酶活性，缓解盐胁迫，提高幼苗抗逆性。</w:t>
      </w:r>
    </w:p>
    <w:p w14:paraId="386246AC">
      <w:pPr>
        <w:keepNext w:val="0"/>
        <w:keepLines w:val="0"/>
        <w:widowControl/>
        <w:suppressLineNumbers w:val="0"/>
        <w:jc w:val="left"/>
        <w:rPr>
          <w:rFonts w:hint="eastAsia" w:ascii="宋体" w:hAnsi="宋体" w:eastAsia="宋体" w:cs="宋体"/>
          <w:color w:val="231F20"/>
          <w:kern w:val="0"/>
          <w:sz w:val="21"/>
          <w:szCs w:val="21"/>
          <w:lang w:val="en-US" w:eastAsia="zh-CN" w:bidi="ar"/>
        </w:rPr>
      </w:pPr>
    </w:p>
    <w:p w14:paraId="77A4E9C6">
      <w:pPr>
        <w:bidi w:val="0"/>
      </w:pPr>
    </w:p>
    <w:p w14:paraId="2D79FE13">
      <w:pPr>
        <w:keepNext w:val="0"/>
        <w:keepLines w:val="0"/>
        <w:widowControl/>
        <w:suppressLineNumbers w:val="0"/>
        <w:jc w:val="left"/>
      </w:pPr>
      <w:r>
        <w:t xml:space="preserve">3.2 </w:t>
      </w:r>
      <w:r>
        <w:rPr>
          <w:rFonts w:ascii="KTJ" w:hAnsi="KTJ" w:eastAsia="KTJ" w:cs="KTJ"/>
          <w:color w:val="231F20"/>
          <w:kern w:val="0"/>
          <w:sz w:val="21"/>
          <w:szCs w:val="21"/>
          <w:lang w:val="en-US" w:eastAsia="zh-CN" w:bidi="ar"/>
        </w:rPr>
        <w:t>抗盐碱品种选育</w:t>
      </w:r>
    </w:p>
    <w:p w14:paraId="326B2AA5">
      <w:pPr>
        <w:bidi w:val="0"/>
        <w:rPr>
          <w:rFonts w:hint="default" w:eastAsiaTheme="minorEastAsia"/>
          <w:lang w:val="en-US" w:eastAsia="zh-CN"/>
        </w:rPr>
      </w:pPr>
    </w:p>
    <w:p w14:paraId="5213465E">
      <w:pPr>
        <w:keepNext w:val="0"/>
        <w:keepLines w:val="0"/>
        <w:widowControl/>
        <w:suppressLineNumbers w:val="0"/>
        <w:ind w:firstLine="420" w:firstLineChars="0"/>
        <w:jc w:val="left"/>
      </w:pPr>
      <w:r>
        <w:rPr>
          <w:rFonts w:hint="eastAsia" w:ascii="宋体" w:hAnsi="宋体" w:eastAsia="宋体" w:cs="宋体"/>
          <w:color w:val="231F20"/>
          <w:kern w:val="0"/>
          <w:sz w:val="21"/>
          <w:szCs w:val="21"/>
          <w:lang w:val="en-US" w:eastAsia="zh-CN" w:bidi="ar"/>
        </w:rPr>
        <w:t>利用植物品种间杂交、引种、抗盐碱基因转育、现有植物耐盐碱锻炼以及突变体筛选等均是培育耐抗盐碱植物品种的有效途径。其中，品种间杂交及引种选育是常规的抗盐碱植物引选方法，主要以直观的表型特征为选择标准，不考虑遗传机理，研究周期较长。而抗盐碱基因转育及突变体筛选通常是以基因表达及染色体突变为研究导向。Zarza等</w:t>
      </w:r>
      <w:bookmarkStart w:id="10" w:name="_GoBack"/>
      <w:bookmarkEnd w:id="10"/>
      <w:r>
        <w:rPr>
          <w:rFonts w:hint="eastAsia" w:ascii="宋体" w:hAnsi="宋体" w:eastAsia="宋体" w:cs="宋体"/>
          <w:color w:val="231F20"/>
          <w:kern w:val="0"/>
          <w:sz w:val="21"/>
          <w:szCs w:val="21"/>
          <w:vertAlign w:val="superscript"/>
          <w:lang w:val="en-US" w:eastAsia="zh-CN" w:bidi="ar"/>
        </w:rPr>
        <w:fldChar w:fldCharType="begin"/>
      </w:r>
      <w:r>
        <w:rPr>
          <w:rFonts w:hint="eastAsia" w:ascii="宋体" w:hAnsi="宋体" w:eastAsia="宋体" w:cs="宋体"/>
          <w:color w:val="231F20"/>
          <w:kern w:val="0"/>
          <w:sz w:val="21"/>
          <w:szCs w:val="21"/>
          <w:vertAlign w:val="superscript"/>
          <w:lang w:val="en-US" w:eastAsia="zh-CN" w:bidi="ar"/>
        </w:rPr>
        <w:instrText xml:space="preserve"> REF _Ref9980 \r \h </w:instrText>
      </w:r>
      <w:r>
        <w:rPr>
          <w:rFonts w:hint="eastAsia" w:ascii="宋体" w:hAnsi="宋体" w:eastAsia="宋体" w:cs="宋体"/>
          <w:color w:val="231F20"/>
          <w:kern w:val="0"/>
          <w:sz w:val="21"/>
          <w:szCs w:val="21"/>
          <w:vertAlign w:val="superscript"/>
          <w:lang w:val="en-US" w:eastAsia="zh-CN" w:bidi="ar"/>
        </w:rPr>
        <w:fldChar w:fldCharType="separate"/>
      </w:r>
      <w:r>
        <w:rPr>
          <w:rFonts w:hint="eastAsia" w:ascii="宋体" w:hAnsi="宋体" w:eastAsia="宋体" w:cs="宋体"/>
          <w:color w:val="231F20"/>
          <w:kern w:val="0"/>
          <w:sz w:val="21"/>
          <w:szCs w:val="21"/>
          <w:vertAlign w:val="superscript"/>
          <w:lang w:val="en-US" w:eastAsia="zh-CN" w:bidi="ar"/>
        </w:rPr>
        <w:t>[8]</w:t>
      </w:r>
      <w:r>
        <w:rPr>
          <w:rFonts w:hint="eastAsia" w:ascii="宋体" w:hAnsi="宋体" w:eastAsia="宋体" w:cs="宋体"/>
          <w:color w:val="231F20"/>
          <w:kern w:val="0"/>
          <w:sz w:val="21"/>
          <w:szCs w:val="21"/>
          <w:vertAlign w:val="superscript"/>
          <w:lang w:val="en-US" w:eastAsia="zh-CN" w:bidi="ar"/>
        </w:rPr>
        <w:fldChar w:fldCharType="end"/>
      </w:r>
      <w:r>
        <w:rPr>
          <w:rFonts w:hint="eastAsia" w:ascii="宋体" w:hAnsi="宋体" w:eastAsia="宋体" w:cs="宋体"/>
          <w:color w:val="231F20"/>
          <w:kern w:val="0"/>
          <w:sz w:val="21"/>
          <w:szCs w:val="21"/>
          <w:lang w:val="en-US" w:eastAsia="zh-CN" w:bidi="ar"/>
        </w:rPr>
        <w:t>研究发现拟南芥中多胺氧化酶5的功能缺失突变增强了其抗盐碱性。Hussain等</w:t>
      </w:r>
      <w:r>
        <w:rPr>
          <w:rFonts w:hint="eastAsia" w:ascii="宋体" w:hAnsi="宋体" w:eastAsia="宋体" w:cs="宋体"/>
          <w:color w:val="231F20"/>
          <w:kern w:val="0"/>
          <w:sz w:val="21"/>
          <w:szCs w:val="21"/>
          <w:vertAlign w:val="superscript"/>
          <w:lang w:val="en-US" w:eastAsia="zh-CN" w:bidi="ar"/>
        </w:rPr>
        <w:fldChar w:fldCharType="begin"/>
      </w:r>
      <w:r>
        <w:rPr>
          <w:rFonts w:hint="eastAsia" w:ascii="宋体" w:hAnsi="宋体" w:eastAsia="宋体" w:cs="宋体"/>
          <w:color w:val="231F20"/>
          <w:kern w:val="0"/>
          <w:sz w:val="21"/>
          <w:szCs w:val="21"/>
          <w:vertAlign w:val="superscript"/>
          <w:lang w:val="en-US" w:eastAsia="zh-CN" w:bidi="ar"/>
        </w:rPr>
        <w:instrText xml:space="preserve"> REF _Ref10006 \r \h </w:instrText>
      </w:r>
      <w:r>
        <w:rPr>
          <w:rFonts w:hint="eastAsia" w:ascii="宋体" w:hAnsi="宋体" w:eastAsia="宋体" w:cs="宋体"/>
          <w:color w:val="231F20"/>
          <w:kern w:val="0"/>
          <w:sz w:val="21"/>
          <w:szCs w:val="21"/>
          <w:vertAlign w:val="superscript"/>
          <w:lang w:val="en-US" w:eastAsia="zh-CN" w:bidi="ar"/>
        </w:rPr>
        <w:fldChar w:fldCharType="separate"/>
      </w:r>
      <w:r>
        <w:rPr>
          <w:rFonts w:hint="eastAsia" w:ascii="宋体" w:hAnsi="宋体" w:eastAsia="宋体" w:cs="宋体"/>
          <w:color w:val="231F20"/>
          <w:kern w:val="0"/>
          <w:sz w:val="21"/>
          <w:szCs w:val="21"/>
          <w:vertAlign w:val="superscript"/>
          <w:lang w:val="en-US" w:eastAsia="zh-CN" w:bidi="ar"/>
        </w:rPr>
        <w:t>[9]</w:t>
      </w:r>
      <w:r>
        <w:rPr>
          <w:rFonts w:hint="eastAsia" w:ascii="宋体" w:hAnsi="宋体" w:eastAsia="宋体" w:cs="宋体"/>
          <w:color w:val="231F20"/>
          <w:kern w:val="0"/>
          <w:sz w:val="21"/>
          <w:szCs w:val="21"/>
          <w:vertAlign w:val="superscript"/>
          <w:lang w:val="en-US" w:eastAsia="zh-CN" w:bidi="ar"/>
        </w:rPr>
        <w:fldChar w:fldCharType="end"/>
      </w:r>
      <w:r>
        <w:rPr>
          <w:rFonts w:hint="eastAsia" w:ascii="宋体" w:hAnsi="宋体" w:eastAsia="宋体" w:cs="宋体"/>
          <w:color w:val="231F20"/>
          <w:kern w:val="0"/>
          <w:sz w:val="21"/>
          <w:szCs w:val="21"/>
          <w:lang w:val="en-US" w:eastAsia="zh-CN" w:bidi="ar"/>
        </w:rPr>
        <w:t>利用二倍体野生西方白三叶和普通白三叶回交选育出了抗盐碱品种。张绮纹等</w:t>
      </w:r>
      <w:r>
        <w:rPr>
          <w:rFonts w:hint="eastAsia" w:ascii="宋体" w:hAnsi="宋体" w:eastAsia="宋体" w:cs="宋体"/>
          <w:color w:val="231F20"/>
          <w:kern w:val="0"/>
          <w:sz w:val="21"/>
          <w:szCs w:val="21"/>
          <w:vertAlign w:val="superscript"/>
          <w:lang w:val="en-US" w:eastAsia="zh-CN" w:bidi="ar"/>
        </w:rPr>
        <w:fldChar w:fldCharType="begin"/>
      </w:r>
      <w:r>
        <w:rPr>
          <w:rFonts w:hint="eastAsia" w:ascii="宋体" w:hAnsi="宋体" w:eastAsia="宋体" w:cs="宋体"/>
          <w:color w:val="231F20"/>
          <w:kern w:val="0"/>
          <w:sz w:val="21"/>
          <w:szCs w:val="21"/>
          <w:vertAlign w:val="superscript"/>
          <w:lang w:val="en-US" w:eastAsia="zh-CN" w:bidi="ar"/>
        </w:rPr>
        <w:instrText xml:space="preserve"> REF _Ref10032 \r \h </w:instrText>
      </w:r>
      <w:r>
        <w:rPr>
          <w:rFonts w:hint="eastAsia" w:ascii="宋体" w:hAnsi="宋体" w:eastAsia="宋体" w:cs="宋体"/>
          <w:color w:val="231F20"/>
          <w:kern w:val="0"/>
          <w:sz w:val="21"/>
          <w:szCs w:val="21"/>
          <w:vertAlign w:val="superscript"/>
          <w:lang w:val="en-US" w:eastAsia="zh-CN" w:bidi="ar"/>
        </w:rPr>
        <w:fldChar w:fldCharType="separate"/>
      </w:r>
      <w:r>
        <w:rPr>
          <w:rFonts w:hint="eastAsia" w:ascii="宋体" w:hAnsi="宋体" w:eastAsia="宋体" w:cs="宋体"/>
          <w:color w:val="231F20"/>
          <w:kern w:val="0"/>
          <w:sz w:val="21"/>
          <w:szCs w:val="21"/>
          <w:vertAlign w:val="superscript"/>
          <w:lang w:val="en-US" w:eastAsia="zh-CN" w:bidi="ar"/>
        </w:rPr>
        <w:t>[10]</w:t>
      </w:r>
      <w:r>
        <w:rPr>
          <w:rFonts w:hint="eastAsia" w:ascii="宋体" w:hAnsi="宋体" w:eastAsia="宋体" w:cs="宋体"/>
          <w:color w:val="231F20"/>
          <w:kern w:val="0"/>
          <w:sz w:val="21"/>
          <w:szCs w:val="21"/>
          <w:vertAlign w:val="superscript"/>
          <w:lang w:val="en-US" w:eastAsia="zh-CN" w:bidi="ar"/>
        </w:rPr>
        <w:fldChar w:fldCharType="end"/>
      </w:r>
      <w:r>
        <w:rPr>
          <w:rFonts w:hint="eastAsia" w:ascii="宋体" w:hAnsi="宋体" w:eastAsia="宋体" w:cs="宋体"/>
          <w:color w:val="231F20"/>
          <w:kern w:val="0"/>
          <w:sz w:val="21"/>
          <w:szCs w:val="21"/>
          <w:lang w:val="en-US" w:eastAsia="zh-CN" w:bidi="ar"/>
        </w:rPr>
        <w:t>以突变体群众杨的嫩茎为外植体，利用愈伤组织进行耐盐培养，并获得耐盐植株。</w:t>
      </w:r>
    </w:p>
    <w:p w14:paraId="248AD4E5">
      <w:pPr>
        <w:bidi w:val="0"/>
      </w:pPr>
    </w:p>
    <w:p w14:paraId="73ED4460">
      <w:pPr>
        <w:bidi w:val="0"/>
      </w:pPr>
      <w:r>
        <w:rPr>
          <w:rFonts w:hint="eastAsia"/>
          <w:lang w:val="en-US" w:eastAsia="zh-CN"/>
        </w:rPr>
        <w:t>4</w:t>
      </w:r>
      <w:r>
        <w:t>. 结论</w:t>
      </w:r>
    </w:p>
    <w:p w14:paraId="0FFB00CA">
      <w:pPr>
        <w:keepNext w:val="0"/>
        <w:keepLines w:val="0"/>
        <w:widowControl/>
        <w:suppressLineNumbers w:val="0"/>
        <w:ind w:firstLine="420" w:firstLineChars="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植物的耐盐碱性是多种因素相互影响和协同作用的结果，不仅与植物的种类、形态和生理特性密切相关，更关键的是受多个基因相互调控的影响。单一抗盐碱基因的引入并不一定能有效提升植物的耐盐碱能力，反而可能导致对其耐盐碱性的片面理解。目前，针对作物耐盐碱性的研究多集中于其形态特征及生理生化指标。近年来，基因组学、转录组学、蛋白质组学和代谢组学等技术在植物盐胁迫研究中取得了显著进展。然而，关于作物耐盐碱性的关键因子、因子间的相互作用机制、代谢网络和代谢途径等方面仍存在许多未解难题。为深入揭示作物的抗盐碱机制，不仅需要分析植物的类型、特征及其生物学特性，还需通过多组学联合分析全面解析其抗性机制。</w:t>
      </w:r>
    </w:p>
    <w:p w14:paraId="4A535E1F">
      <w:pPr>
        <w:bidi w:val="0"/>
      </w:pPr>
    </w:p>
    <w:p w14:paraId="14714DE4">
      <w:pPr>
        <w:bidi w:val="0"/>
      </w:pPr>
      <w:r>
        <w:t>参考文献</w:t>
      </w:r>
    </w:p>
    <w:p w14:paraId="6FA1E792">
      <w:pPr>
        <w:bidi w:val="0"/>
      </w:pPr>
    </w:p>
    <w:p w14:paraId="45CFE55E">
      <w:pPr>
        <w:keepNext w:val="0"/>
        <w:keepLines w:val="0"/>
        <w:widowControl/>
        <w:numPr>
          <w:ilvl w:val="0"/>
          <w:numId w:val="3"/>
        </w:numPr>
        <w:suppressLineNumbers w:val="0"/>
        <w:ind w:left="0" w:leftChars="0" w:firstLine="0" w:firstLineChars="0"/>
        <w:jc w:val="left"/>
        <w:rPr>
          <w:rFonts w:hint="eastAsia" w:ascii="宋体" w:hAnsi="宋体" w:eastAsia="宋体" w:cs="宋体"/>
          <w:color w:val="231F20"/>
          <w:kern w:val="0"/>
          <w:sz w:val="17"/>
          <w:szCs w:val="17"/>
          <w:lang w:val="en-US" w:eastAsia="zh-CN" w:bidi="ar"/>
        </w:rPr>
      </w:pPr>
      <w:bookmarkStart w:id="0" w:name="_Ref9510"/>
      <w:r>
        <w:rPr>
          <w:rFonts w:hint="eastAsia" w:ascii="宋体" w:hAnsi="宋体" w:eastAsia="宋体" w:cs="宋体"/>
          <w:color w:val="231F20"/>
          <w:kern w:val="0"/>
          <w:sz w:val="17"/>
          <w:szCs w:val="17"/>
          <w:lang w:val="en-US" w:eastAsia="zh-CN" w:bidi="ar"/>
        </w:rPr>
        <w:t>靳 娟，王 依，鲁晓燕，等. NaCl 胁迫对酸枣幼苗离子吸收与分配的影响［J］. 园艺学报，2015，42（5）： 853-862.</w:t>
      </w:r>
      <w:bookmarkEnd w:id="0"/>
    </w:p>
    <w:p w14:paraId="7FBA3C33">
      <w:pPr>
        <w:keepNext w:val="0"/>
        <w:keepLines w:val="0"/>
        <w:widowControl/>
        <w:numPr>
          <w:ilvl w:val="0"/>
          <w:numId w:val="3"/>
        </w:numPr>
        <w:suppressLineNumbers w:val="0"/>
        <w:ind w:left="0" w:leftChars="0" w:firstLine="0" w:firstLineChars="0"/>
        <w:jc w:val="left"/>
        <w:rPr>
          <w:rFonts w:hint="default" w:ascii="宋体" w:hAnsi="宋体" w:eastAsia="宋体" w:cs="宋体"/>
          <w:color w:val="231F20"/>
          <w:kern w:val="0"/>
          <w:sz w:val="17"/>
          <w:szCs w:val="17"/>
          <w:lang w:val="en-US" w:eastAsia="zh-CN" w:bidi="ar"/>
        </w:rPr>
      </w:pPr>
      <w:bookmarkStart w:id="1" w:name="_Ref9585"/>
      <w:r>
        <w:rPr>
          <w:rFonts w:hint="eastAsia" w:ascii="宋体" w:hAnsi="宋体" w:eastAsia="宋体" w:cs="宋体"/>
          <w:color w:val="231F20"/>
          <w:kern w:val="0"/>
          <w:sz w:val="17"/>
          <w:szCs w:val="17"/>
          <w:lang w:val="en-US" w:eastAsia="zh-CN" w:bidi="ar"/>
        </w:rPr>
        <w:t>贾秀苹，卯旭辉，梁根生，等. 向日葵抗盐碱生理生化机制与生长发育特性分析［J］. 作物杂志，2022 （5）：146-152.</w:t>
      </w:r>
      <w:bookmarkEnd w:id="1"/>
    </w:p>
    <w:p w14:paraId="052B1F46">
      <w:pPr>
        <w:keepNext w:val="0"/>
        <w:keepLines w:val="0"/>
        <w:widowControl/>
        <w:numPr>
          <w:ilvl w:val="0"/>
          <w:numId w:val="3"/>
        </w:numPr>
        <w:suppressLineNumbers w:val="0"/>
        <w:ind w:left="0" w:leftChars="0" w:firstLine="0" w:firstLineChars="0"/>
        <w:jc w:val="left"/>
        <w:rPr>
          <w:rFonts w:hint="eastAsia" w:ascii="宋体" w:hAnsi="宋体" w:eastAsia="宋体" w:cs="宋体"/>
        </w:rPr>
      </w:pPr>
      <w:bookmarkStart w:id="2" w:name="_Ref9663"/>
      <w:r>
        <w:rPr>
          <w:rFonts w:hint="eastAsia" w:ascii="宋体" w:hAnsi="宋体" w:eastAsia="宋体" w:cs="宋体"/>
          <w:color w:val="231F20"/>
          <w:kern w:val="0"/>
          <w:sz w:val="17"/>
          <w:szCs w:val="17"/>
          <w:lang w:val="en-US" w:eastAsia="zh-CN" w:bidi="ar"/>
        </w:rPr>
        <w:t>耿 贵，李任任，吕春华，等. 外源调节物质对盐胁迫下植物生长调控研究进展［J］. 中国农学通报， 2020，36（24）：85-90.</w:t>
      </w:r>
      <w:bookmarkEnd w:id="2"/>
    </w:p>
    <w:p w14:paraId="450C900C">
      <w:pPr>
        <w:keepNext w:val="0"/>
        <w:keepLines w:val="0"/>
        <w:widowControl/>
        <w:numPr>
          <w:ilvl w:val="0"/>
          <w:numId w:val="3"/>
        </w:numPr>
        <w:suppressLineNumbers w:val="0"/>
        <w:ind w:left="0" w:leftChars="0" w:firstLine="0" w:firstLineChars="0"/>
        <w:jc w:val="left"/>
        <w:rPr>
          <w:rFonts w:hint="eastAsia" w:ascii="宋体" w:hAnsi="宋体" w:eastAsia="宋体" w:cs="宋体"/>
        </w:rPr>
      </w:pPr>
      <w:bookmarkStart w:id="3" w:name="_Ref9716"/>
      <w:r>
        <w:rPr>
          <w:rFonts w:hint="eastAsia" w:ascii="宋体" w:hAnsi="宋体" w:eastAsia="宋体" w:cs="宋体"/>
          <w:color w:val="231F20"/>
          <w:kern w:val="0"/>
          <w:sz w:val="17"/>
          <w:szCs w:val="17"/>
          <w:lang w:val="en-US" w:eastAsia="zh-CN" w:bidi="ar"/>
        </w:rPr>
        <w:t xml:space="preserve">WOLTERS H, JÜRGENS G. Survival of the flexible: hor－monal growth control and adaptation in plant develop － ment［J］. Nature Reviews Genetics, 2009, 10（5）: 305-317. </w:t>
      </w:r>
      <w:bookmarkEnd w:id="3"/>
    </w:p>
    <w:p w14:paraId="14186711">
      <w:pPr>
        <w:keepNext w:val="0"/>
        <w:keepLines w:val="0"/>
        <w:widowControl/>
        <w:numPr>
          <w:ilvl w:val="0"/>
          <w:numId w:val="3"/>
        </w:numPr>
        <w:suppressLineNumbers w:val="0"/>
        <w:ind w:left="0" w:leftChars="0" w:firstLine="0" w:firstLineChars="0"/>
        <w:jc w:val="left"/>
        <w:rPr>
          <w:rFonts w:hint="eastAsia" w:ascii="宋体" w:hAnsi="宋体" w:eastAsia="宋体" w:cs="宋体"/>
        </w:rPr>
      </w:pPr>
      <w:bookmarkStart w:id="4" w:name="_Ref9745"/>
      <w:r>
        <w:rPr>
          <w:rFonts w:hint="eastAsia" w:ascii="宋体" w:hAnsi="宋体" w:eastAsia="宋体" w:cs="宋体"/>
          <w:color w:val="231F20"/>
          <w:kern w:val="0"/>
          <w:sz w:val="17"/>
          <w:szCs w:val="17"/>
          <w:lang w:val="en-US" w:eastAsia="zh-CN" w:bidi="ar"/>
        </w:rPr>
        <w:t>王敬东，白海波，马斯霜，等. 外源激素 IAA 对 NaCl胁迫下水稻种子萌发的影响［J］. 安徽农业科学，2021，47（14）：25-28.</w:t>
      </w:r>
      <w:bookmarkEnd w:id="4"/>
    </w:p>
    <w:p w14:paraId="314934F1">
      <w:pPr>
        <w:keepNext w:val="0"/>
        <w:keepLines w:val="0"/>
        <w:widowControl/>
        <w:numPr>
          <w:ilvl w:val="0"/>
          <w:numId w:val="3"/>
        </w:numPr>
        <w:suppressLineNumbers w:val="0"/>
        <w:ind w:left="0" w:leftChars="0" w:firstLine="0" w:firstLineChars="0"/>
        <w:jc w:val="left"/>
        <w:rPr>
          <w:rFonts w:hint="eastAsia" w:ascii="宋体" w:hAnsi="宋体" w:eastAsia="宋体" w:cs="宋体"/>
        </w:rPr>
      </w:pPr>
      <w:bookmarkStart w:id="5" w:name="_Ref9804"/>
      <w:r>
        <w:rPr>
          <w:rFonts w:hint="eastAsia" w:ascii="宋体" w:hAnsi="宋体" w:eastAsia="宋体" w:cs="宋体"/>
          <w:color w:val="231F20"/>
          <w:kern w:val="0"/>
          <w:sz w:val="17"/>
          <w:szCs w:val="17"/>
          <w:lang w:val="en-US" w:eastAsia="zh-CN" w:bidi="ar"/>
        </w:rPr>
        <w:t>ZHOU J, CHENG K, HUANG G, et al. Effects of ex－ogenous3 -indoleacetic acid and cadmium stress on the physiological and biochemical characteristics of Cin－namomum camphora［J］. Ecotoxicol Environ Saf, 2019,191（3）: 109998．</w:t>
      </w:r>
      <w:bookmarkEnd w:id="5"/>
    </w:p>
    <w:p w14:paraId="277E3494">
      <w:pPr>
        <w:keepNext w:val="0"/>
        <w:keepLines w:val="0"/>
        <w:widowControl/>
        <w:numPr>
          <w:ilvl w:val="0"/>
          <w:numId w:val="3"/>
        </w:numPr>
        <w:suppressLineNumbers w:val="0"/>
        <w:ind w:left="0" w:leftChars="0" w:firstLine="0" w:firstLineChars="0"/>
        <w:jc w:val="left"/>
        <w:rPr>
          <w:rFonts w:hint="eastAsia" w:ascii="宋体" w:hAnsi="宋体" w:eastAsia="宋体" w:cs="宋体"/>
        </w:rPr>
      </w:pPr>
      <w:bookmarkStart w:id="6" w:name="_Ref9863"/>
      <w:r>
        <w:rPr>
          <w:rFonts w:hint="eastAsia" w:ascii="宋体" w:hAnsi="宋体" w:eastAsia="宋体" w:cs="宋体"/>
          <w:color w:val="231F20"/>
          <w:kern w:val="0"/>
          <w:sz w:val="17"/>
          <w:szCs w:val="17"/>
          <w:lang w:val="en-US" w:eastAsia="zh-CN" w:bidi="ar"/>
        </w:rPr>
        <w:t>蔡美杰，张恩慧，张鑫鑫，等. 盐胁迫甘蓝 DH 幼苗添加细胞分裂素效果研究［J］. 东北农业大学学报，2019，50（5）：19-25.</w:t>
      </w:r>
      <w:bookmarkEnd w:id="6"/>
    </w:p>
    <w:p w14:paraId="3B5D1A73">
      <w:pPr>
        <w:keepNext w:val="0"/>
        <w:keepLines w:val="0"/>
        <w:widowControl/>
        <w:numPr>
          <w:ilvl w:val="0"/>
          <w:numId w:val="3"/>
        </w:numPr>
        <w:suppressLineNumbers w:val="0"/>
        <w:ind w:left="0" w:leftChars="0" w:firstLine="0" w:firstLineChars="0"/>
        <w:jc w:val="left"/>
        <w:rPr>
          <w:rFonts w:hint="eastAsia" w:ascii="宋体" w:hAnsi="宋体" w:eastAsia="宋体" w:cs="宋体"/>
        </w:rPr>
      </w:pPr>
      <w:bookmarkStart w:id="7" w:name="_Ref9980"/>
      <w:r>
        <w:rPr>
          <w:rFonts w:hint="eastAsia" w:ascii="宋体" w:hAnsi="宋体" w:eastAsia="宋体" w:cs="宋体"/>
          <w:color w:val="231F20"/>
          <w:kern w:val="0"/>
          <w:sz w:val="17"/>
          <w:szCs w:val="17"/>
          <w:lang w:val="en-US" w:eastAsia="zh-CN" w:bidi="ar"/>
        </w:rPr>
        <w:t>ZARZA X, ATANASOV K E, MARCO F, et al．Polyamine oxidase 5 loss-of-function mutations in Ara－bidopsis thaliana trigger metabolic and transcriptional reprogramming and promote salt stress tolerance［J］. Plant, Cell ＆ Environment, 2017, 40（4）: 527-542.</w:t>
      </w:r>
      <w:bookmarkEnd w:id="7"/>
    </w:p>
    <w:p w14:paraId="4336F9C6">
      <w:pPr>
        <w:keepNext w:val="0"/>
        <w:keepLines w:val="0"/>
        <w:widowControl/>
        <w:numPr>
          <w:ilvl w:val="0"/>
          <w:numId w:val="3"/>
        </w:numPr>
        <w:suppressLineNumbers w:val="0"/>
        <w:ind w:left="0" w:leftChars="0" w:firstLine="0" w:firstLineChars="0"/>
        <w:jc w:val="left"/>
        <w:rPr>
          <w:rFonts w:hint="eastAsia" w:ascii="宋体" w:hAnsi="宋体" w:eastAsia="宋体" w:cs="宋体"/>
        </w:rPr>
      </w:pPr>
      <w:bookmarkStart w:id="8" w:name="_Ref10006"/>
      <w:r>
        <w:rPr>
          <w:rFonts w:hint="eastAsia" w:ascii="宋体" w:hAnsi="宋体" w:eastAsia="宋体" w:cs="宋体"/>
          <w:color w:val="231F20"/>
          <w:kern w:val="0"/>
          <w:sz w:val="17"/>
          <w:szCs w:val="17"/>
          <w:lang w:val="en-US" w:eastAsia="zh-CN" w:bidi="ar"/>
        </w:rPr>
        <w:t xml:space="preserve">HUSSAIN S W, WILLIAMS W M． Chromosome pairing and fertility of interspecific hybrids between Trifolium repens L. and T. occidentale Coombe［J］． Plant Breed－ing, 2016, 135（2）: 239-245． </w:t>
      </w:r>
      <w:bookmarkEnd w:id="8"/>
    </w:p>
    <w:p w14:paraId="255A7676">
      <w:pPr>
        <w:keepNext w:val="0"/>
        <w:keepLines w:val="0"/>
        <w:widowControl/>
        <w:numPr>
          <w:ilvl w:val="0"/>
          <w:numId w:val="3"/>
        </w:numPr>
        <w:suppressLineNumbers w:val="0"/>
        <w:ind w:left="0" w:leftChars="0" w:firstLine="0" w:firstLineChars="0"/>
        <w:jc w:val="left"/>
        <w:rPr>
          <w:rFonts w:hint="eastAsia" w:ascii="宋体" w:hAnsi="宋体" w:eastAsia="宋体" w:cs="宋体"/>
        </w:rPr>
      </w:pPr>
      <w:bookmarkStart w:id="9" w:name="_Ref10032"/>
      <w:r>
        <w:rPr>
          <w:rFonts w:hint="eastAsia" w:ascii="宋体" w:hAnsi="宋体" w:eastAsia="宋体" w:cs="宋体"/>
          <w:color w:val="231F20"/>
          <w:kern w:val="0"/>
          <w:sz w:val="17"/>
          <w:szCs w:val="17"/>
          <w:lang w:val="en-US" w:eastAsia="zh-CN" w:bidi="ar"/>
        </w:rPr>
        <w:t>张绮纹，张望东. 群众杨 39 无性系耐盐悬浮细胞系的建立和体细胞变异体完整植株的诱导［J］. 林业科学研究，1995（4）：395-401.</w:t>
      </w:r>
      <w:bookmarkEnd w:id="9"/>
    </w:p>
    <w:p w14:paraId="3FD76BC9">
      <w:pPr>
        <w:rPr>
          <w:rFonts w:hint="eastAsia" w:ascii="宋体" w:hAnsi="宋体" w:eastAsia="宋体" w:cs="宋体"/>
        </w:rPr>
      </w:pPr>
    </w:p>
    <w:p w14:paraId="78D3AC5A">
      <w:pPr>
        <w:rPr>
          <w:rFonts w:hint="eastAsia" w:ascii="宋体" w:hAnsi="宋体" w:eastAsia="宋体" w:cs="宋体"/>
        </w:rPr>
      </w:pPr>
    </w:p>
    <w:p w14:paraId="54D0AD0D">
      <w:pPr>
        <w:keepNext w:val="0"/>
        <w:keepLines w:val="0"/>
        <w:widowControl/>
        <w:suppressLineNumbers w:val="0"/>
        <w:jc w:val="left"/>
        <w:rPr>
          <w:rFonts w:hint="eastAsia" w:ascii="宋体" w:hAnsi="宋体" w:eastAsia="宋体" w:cs="宋体"/>
          <w:color w:val="231F20"/>
          <w:kern w:val="0"/>
          <w:sz w:val="17"/>
          <w:szCs w:val="17"/>
          <w:lang w:val="en-US" w:eastAsia="zh-CN" w:bidi="ar"/>
        </w:rPr>
      </w:pPr>
    </w:p>
    <w:p w14:paraId="1C25EFEE">
      <w:pPr>
        <w:rPr>
          <w:rFonts w:hint="eastAsia" w:ascii="宋体" w:hAnsi="宋体" w:eastAsia="宋体" w:cs="宋体"/>
        </w:rPr>
      </w:pPr>
    </w:p>
    <w:p w14:paraId="31A29B3F">
      <w:pPr>
        <w:keepNext w:val="0"/>
        <w:keepLines w:val="0"/>
        <w:widowControl/>
        <w:suppressLineNumbers w:val="0"/>
        <w:jc w:val="left"/>
        <w:rPr>
          <w:rFonts w:hint="eastAsia" w:ascii="宋体" w:hAnsi="宋体" w:eastAsia="宋体" w:cs="宋体"/>
          <w:color w:val="231F20"/>
          <w:kern w:val="0"/>
          <w:sz w:val="17"/>
          <w:szCs w:val="17"/>
          <w:lang w:val="en-US" w:eastAsia="zh-CN" w:bidi="ar"/>
        </w:rPr>
      </w:pPr>
    </w:p>
    <w:p w14:paraId="2E51C786">
      <w:pPr>
        <w:bidi w:val="0"/>
      </w:pPr>
    </w:p>
    <w:p w14:paraId="27753EE1">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KTJ">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ZIFFqW-46">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DF1A86"/>
    <w:multiLevelType w:val="singleLevel"/>
    <w:tmpl w:val="E4DF1A86"/>
    <w:lvl w:ilvl="0" w:tentative="0">
      <w:start w:val="1"/>
      <w:numFmt w:val="decimal"/>
      <w:suff w:val="space"/>
      <w:lvlText w:val="[%1]"/>
      <w:lvlJc w:val="left"/>
      <w:pPr>
        <w:tabs>
          <w:tab w:val="left" w:pos="0"/>
        </w:tabs>
      </w:pPr>
      <w:rPr>
        <w:rFonts w:hint="default" w:ascii="Times New Roman" w:hAnsi="Times New Roman" w:cs="Times New Roman"/>
        <w:sz w:val="16"/>
        <w:szCs w:val="16"/>
      </w:rPr>
    </w:lvl>
  </w:abstractNum>
  <w:abstractNum w:abstractNumId="1">
    <w:nsid w:val="3F27C457"/>
    <w:multiLevelType w:val="singleLevel"/>
    <w:tmpl w:val="3F27C457"/>
    <w:lvl w:ilvl="0" w:tentative="0">
      <w:start w:val="2"/>
      <w:numFmt w:val="decimal"/>
      <w:suff w:val="space"/>
      <w:lvlText w:val="%1."/>
      <w:lvlJc w:val="left"/>
    </w:lvl>
  </w:abstractNum>
  <w:abstractNum w:abstractNumId="2">
    <w:nsid w:val="5439081E"/>
    <w:multiLevelType w:val="singleLevel"/>
    <w:tmpl w:val="5439081E"/>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835ED4"/>
    <w:rsid w:val="09CB16FF"/>
    <w:rsid w:val="44835ED4"/>
    <w:rsid w:val="6F341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1753</Words>
  <Characters>2056</Characters>
  <Lines>0</Lines>
  <Paragraphs>0</Paragraphs>
  <TotalTime>9</TotalTime>
  <ScaleCrop>false</ScaleCrop>
  <LinksUpToDate>false</LinksUpToDate>
  <CharactersWithSpaces>2113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2024-12-15T04:00:00Z</dcterms:created>
  <dc:creator>言无声，泪如雨</dc:creator>
  <cp:lastModifiedBy>言无声，泪如雨</cp:lastModifiedBy>
  <dcterms:modified xsi:type="dcterms:W3CDTF">2024-12-15T16:56:27Z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25A3CB94341546B298E3E25DB4C72630_11</vt:lpwstr>
  </property>
</Properties>
</file>