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EEC7A">
      <w:pPr>
        <w:pStyle w:val="2"/>
        <w:jc w:val="center"/>
      </w:pPr>
      <w:r>
        <w:rPr>
          <w:rFonts w:hint="eastAsia"/>
          <w:sz w:val="36"/>
          <w:szCs w:val="28"/>
        </w:rPr>
        <w:t>牛大力叶斑病菌的分离鉴定及生防菌筛选</w:t>
      </w:r>
    </w:p>
    <w:p w14:paraId="0FAF1FD3">
      <w:pPr>
        <w:pStyle w:val="2"/>
      </w:pPr>
      <w:r>
        <w:rPr>
          <w:rFonts w:hint="eastAsia"/>
        </w:rPr>
        <w:t>1研究目的</w:t>
      </w:r>
    </w:p>
    <w:p w14:paraId="238F5696">
      <w:pPr>
        <w:ind w:firstLine="420" w:firstLineChars="200"/>
      </w:pPr>
      <w:r>
        <w:t>牛大力具有抗疲劳等多种功效，根据统计，2020年广西牛大力种植面积达到5973公顷</w:t>
      </w:r>
      <w:r>
        <w:rPr>
          <w:vertAlign w:val="superscript"/>
        </w:rPr>
        <w:fldChar w:fldCharType="begin"/>
      </w:r>
      <w:r>
        <w:rPr>
          <w:vertAlign w:val="superscript"/>
        </w:rPr>
        <w:instrText xml:space="preserve"> REF _Ref15045 \r \h </w:instrText>
      </w:r>
      <w:r>
        <w:rPr>
          <w:vertAlign w:val="superscript"/>
        </w:rPr>
        <w:fldChar w:fldCharType="separate"/>
      </w:r>
      <w:r>
        <w:rPr>
          <w:vertAlign w:val="superscript"/>
        </w:rPr>
        <w:t>[1]</w:t>
      </w:r>
      <w:r>
        <w:rPr>
          <w:vertAlign w:val="superscript"/>
        </w:rPr>
        <w:fldChar w:fldCharType="end"/>
      </w:r>
      <w:r>
        <w:t>。但是，在种植过程中会出现牛大力病害，影响牛大力的生长从而影响经济收入。因此，探索研究掌握牛大力病害的机理以及治疗措施具有十分重要的意义。通过本课题的研究，可获得使牛大力患叶斑病的病原菌N2-2，并对其进行分类鉴定，为牛大力病害的防治奠定基础。</w:t>
      </w:r>
    </w:p>
    <w:p w14:paraId="02857B13">
      <w:pPr>
        <w:pStyle w:val="2"/>
      </w:pPr>
      <w:r>
        <w:rPr>
          <w:rFonts w:hint="eastAsia"/>
        </w:rPr>
        <w:t>2研究内容和研究路线</w:t>
      </w:r>
    </w:p>
    <w:p w14:paraId="606E2D5C">
      <w:pPr>
        <w:pStyle w:val="3"/>
      </w:pPr>
      <w:r>
        <w:rPr>
          <w:rFonts w:hint="eastAsia"/>
        </w:rPr>
        <w:t>2.1研究内容</w:t>
      </w:r>
    </w:p>
    <w:p w14:paraId="2A59F763">
      <w:pPr>
        <w:numPr>
          <w:ilvl w:val="0"/>
          <w:numId w:val="1"/>
        </w:numPr>
      </w:pPr>
      <w:r>
        <w:t>牛大力病原菌的分离和纯化</w:t>
      </w:r>
    </w:p>
    <w:p w14:paraId="2950129E">
      <w:pPr>
        <w:numPr>
          <w:ilvl w:val="0"/>
          <w:numId w:val="1"/>
        </w:numPr>
      </w:pPr>
      <w:r>
        <w:t>致病性测定</w:t>
      </w:r>
    </w:p>
    <w:p w14:paraId="442DE220">
      <w:r>
        <w:t>（3）病原菌的鉴定</w:t>
      </w:r>
    </w:p>
    <w:p w14:paraId="510680B1">
      <w:r>
        <w:t>（4）生物学特性测定</w:t>
      </w:r>
    </w:p>
    <w:p w14:paraId="032D66A3">
      <w:pPr>
        <w:pStyle w:val="3"/>
      </w:pPr>
      <w:r>
        <w:rPr>
          <w:rFonts w:hint="eastAsia"/>
        </w:rPr>
        <w:t>2.2研究路线</w:t>
      </w:r>
    </w:p>
    <w:p w14:paraId="0079D684">
      <w:r>
        <w:rPr>
          <w:rFonts w:hint="eastAsia"/>
        </w:rPr>
        <w:t>1、牛大力病原菌的分离和纯化</w:t>
      </w:r>
    </w:p>
    <w:p w14:paraId="73CAAA05">
      <w:r>
        <w:rPr>
          <w:rFonts w:hint="eastAsia"/>
        </w:rPr>
        <w:t>2、致病性实验测定致病性</w:t>
      </w:r>
    </w:p>
    <w:p w14:paraId="5E2BDAFC">
      <w:r>
        <w:rPr>
          <w:rFonts w:hint="eastAsia"/>
        </w:rPr>
        <w:t>3、显微镜观察形态学特征</w:t>
      </w:r>
    </w:p>
    <w:p w14:paraId="5B8BEB63">
      <w:r>
        <w:rPr>
          <w:rFonts w:hint="eastAsia"/>
        </w:rPr>
        <w:t>4、提取基因组DNA、进行PCR、琼脂糖凝胶电泳检测产物</w:t>
      </w:r>
    </w:p>
    <w:p w14:paraId="79F8F9BE">
      <w:r>
        <w:rPr>
          <w:rFonts w:hint="eastAsia"/>
        </w:rPr>
        <w:t>5、16SrDNA序列测定</w:t>
      </w:r>
    </w:p>
    <w:p w14:paraId="6E669409">
      <w:pPr>
        <w:rPr>
          <w:rFonts w:hint="eastAsia"/>
        </w:rPr>
      </w:pPr>
      <w:r>
        <w:rPr>
          <w:rFonts w:hint="eastAsia"/>
        </w:rPr>
        <w:t>6、构建系统发育树并分析</w:t>
      </w:r>
    </w:p>
    <w:p w14:paraId="1A605304">
      <w:pPr>
        <w:rPr>
          <w:rFonts w:hint="eastAsia"/>
          <w:lang w:val="en-US" w:eastAsia="zh-CN"/>
        </w:rPr>
      </w:pPr>
      <w:r>
        <w:rPr>
          <w:rFonts w:hint="eastAsia"/>
        </w:rPr>
        <w:t>7</w:t>
      </w:r>
      <w:r>
        <w:rPr>
          <w:rFonts w:hint="eastAsia"/>
          <w:lang w:eastAsia="zh-CN"/>
        </w:rPr>
        <w:t>、</w:t>
      </w:r>
      <w:r>
        <w:rPr>
          <w:rFonts w:hint="eastAsia"/>
          <w:lang w:val="en-US" w:eastAsia="zh-CN"/>
        </w:rPr>
        <w:t>生物学特性测定</w:t>
      </w:r>
    </w:p>
    <w:p w14:paraId="461DBA98">
      <w:pPr>
        <w:rPr>
          <w:rFonts w:hint="default"/>
          <w:lang w:val="en-US" w:eastAsia="zh-CN"/>
        </w:rPr>
      </w:pPr>
      <w:r>
        <w:rPr>
          <w:rFonts w:hint="eastAsia"/>
          <w:lang w:val="en-US" w:eastAsia="zh-CN"/>
        </w:rPr>
        <w:t>8、生防菌对植物的病害测定</w:t>
      </w:r>
    </w:p>
    <w:p w14:paraId="0ABD7E8A">
      <w:pPr>
        <w:pStyle w:val="2"/>
      </w:pPr>
      <w:r>
        <w:rPr>
          <w:rFonts w:hint="eastAsia"/>
        </w:rPr>
        <w:t>3材料与方法</w:t>
      </w:r>
    </w:p>
    <w:p w14:paraId="3CEB3A78">
      <w:pPr>
        <w:pStyle w:val="3"/>
      </w:pPr>
      <w:r>
        <w:rPr>
          <w:rFonts w:hint="eastAsia"/>
        </w:rPr>
        <w:t>3.1材料</w:t>
      </w:r>
    </w:p>
    <w:p w14:paraId="77F7DA5D">
      <w:pPr>
        <w:pStyle w:val="4"/>
      </w:pPr>
      <w:r>
        <w:rPr>
          <w:rFonts w:hint="eastAsia"/>
        </w:rPr>
        <w:t>3.1.1样品采集</w:t>
      </w:r>
    </w:p>
    <w:p w14:paraId="4A566AB7">
      <w:pPr>
        <w:ind w:firstLine="420" w:firstLineChars="200"/>
      </w:pPr>
      <w:r>
        <w:t>在广西牛大力种植田中采集带有叶斑病的牛大力叶，把所采集的样本装进保</w:t>
      </w:r>
    </w:p>
    <w:p w14:paraId="40D06375">
      <w:r>
        <w:t>鲜袋子将其带回实验室放进4℃冰箱保存备用。</w:t>
      </w:r>
    </w:p>
    <w:p w14:paraId="5EA443A1">
      <w:pPr>
        <w:pStyle w:val="4"/>
      </w:pPr>
      <w:r>
        <w:rPr>
          <w:rFonts w:hint="eastAsia"/>
        </w:rPr>
        <w:t>3.1.2主要试剂</w:t>
      </w:r>
    </w:p>
    <w:p w14:paraId="0B2340DD">
      <w:pPr>
        <w:ind w:firstLine="420" w:firstLineChars="200"/>
      </w:pPr>
      <w:r>
        <w:t>真菌基因组DNA快速抽提试剂盒（B518229-0100）、75%乙醇、引物ITS1、ITS4、2×SanTaqPCRMix、琼脂糖、DNAMarker、绿如蓝核酸染料等。</w:t>
      </w:r>
    </w:p>
    <w:p w14:paraId="674ACE95">
      <w:pPr>
        <w:pStyle w:val="4"/>
      </w:pPr>
      <w:r>
        <w:rPr>
          <w:rFonts w:hint="eastAsia"/>
        </w:rPr>
        <w:t>3.1.3主要培养基</w:t>
      </w:r>
    </w:p>
    <w:p w14:paraId="0631AA01">
      <w:pPr>
        <w:ind w:firstLine="420" w:firstLineChars="200"/>
      </w:pPr>
      <w:r>
        <w:t>马铃薯葡萄糖琼脂培养基（PDA），详细配方参考文献</w:t>
      </w:r>
      <w:r>
        <w:rPr>
          <w:vertAlign w:val="superscript"/>
        </w:rPr>
        <w:fldChar w:fldCharType="begin"/>
      </w:r>
      <w:r>
        <w:rPr>
          <w:vertAlign w:val="superscript"/>
        </w:rPr>
        <w:instrText xml:space="preserve"> REF _Ref3857 \r \h </w:instrText>
      </w:r>
      <w:r>
        <w:rPr>
          <w:vertAlign w:val="superscript"/>
        </w:rPr>
        <w:fldChar w:fldCharType="separate"/>
      </w:r>
      <w:r>
        <w:rPr>
          <w:vertAlign w:val="superscript"/>
        </w:rPr>
        <w:t>[2]</w:t>
      </w:r>
      <w:r>
        <w:rPr>
          <w:vertAlign w:val="superscript"/>
        </w:rPr>
        <w:fldChar w:fldCharType="end"/>
      </w:r>
      <w:r>
        <w:t>。</w:t>
      </w:r>
    </w:p>
    <w:p w14:paraId="75A24C02">
      <w:pPr>
        <w:pStyle w:val="4"/>
      </w:pPr>
      <w:r>
        <w:rPr>
          <w:rFonts w:hint="eastAsia"/>
        </w:rPr>
        <w:t>3.1.4实验主要仪器</w:t>
      </w:r>
    </w:p>
    <w:p w14:paraId="48E77D22">
      <w:pPr>
        <w:ind w:firstLine="420" w:firstLineChars="200"/>
      </w:pPr>
      <w:r>
        <w:t>本实验所使用的主要仪器见表</w:t>
      </w:r>
      <w:r>
        <w:rPr>
          <w:rFonts w:hint="eastAsia"/>
        </w:rPr>
        <w:t>1.1</w:t>
      </w:r>
      <w:r>
        <w:t>所示。</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1839"/>
        <w:gridCol w:w="3843"/>
      </w:tblGrid>
      <w:tr w14:paraId="1A4DA4A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4" w:hRule="atLeast"/>
        </w:trPr>
        <w:tc>
          <w:tcPr>
            <w:tcW w:w="8522" w:type="dxa"/>
            <w:gridSpan w:val="3"/>
            <w:tcBorders>
              <w:top w:val="single" w:color="000000" w:sz="12" w:space="0"/>
              <w:bottom w:val="single" w:color="000000" w:sz="12" w:space="0"/>
              <w:tl2br w:val="nil"/>
              <w:tr2bl w:val="nil"/>
            </w:tcBorders>
          </w:tcPr>
          <w:p w14:paraId="684F09D8">
            <w:pPr>
              <w:jc w:val="center"/>
              <w:rPr>
                <w:b/>
                <w:bCs/>
              </w:rPr>
            </w:pPr>
            <w:r>
              <w:rPr>
                <w:rFonts w:hint="eastAsia"/>
                <w:b/>
                <w:bCs/>
              </w:rPr>
              <w:t>表1.1实验所用仪器</w:t>
            </w:r>
          </w:p>
          <w:p w14:paraId="437FD9E8">
            <w:pPr>
              <w:jc w:val="center"/>
            </w:pPr>
            <w:r>
              <w:rPr>
                <w:b/>
                <w:bCs/>
              </w:rPr>
              <w:t>Table</w:t>
            </w:r>
            <w:r>
              <w:rPr>
                <w:rFonts w:hint="eastAsia"/>
                <w:b/>
                <w:bCs/>
              </w:rPr>
              <w:t xml:space="preserve"> 1</w:t>
            </w:r>
            <w:r>
              <w:rPr>
                <w:b/>
                <w:bCs/>
              </w:rPr>
              <w:t>.1</w:t>
            </w:r>
            <w:r>
              <w:rPr>
                <w:rFonts w:hint="eastAsia"/>
                <w:b/>
                <w:bCs/>
              </w:rPr>
              <w:t xml:space="preserve"> </w:t>
            </w:r>
            <w:r>
              <w:rPr>
                <w:b/>
                <w:bCs/>
              </w:rPr>
              <w:t>Instruments used in the experiment</w:t>
            </w:r>
          </w:p>
        </w:tc>
      </w:tr>
      <w:tr w14:paraId="5DBE5B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12" w:space="0"/>
              <w:bottom w:val="single" w:color="000000" w:sz="8" w:space="0"/>
              <w:tl2br w:val="nil"/>
              <w:tr2bl w:val="nil"/>
            </w:tcBorders>
          </w:tcPr>
          <w:p w14:paraId="6ADAC3B9">
            <w:pPr>
              <w:jc w:val="center"/>
            </w:pPr>
            <w:r>
              <w:t>仪器名称</w:t>
            </w:r>
          </w:p>
        </w:tc>
        <w:tc>
          <w:tcPr>
            <w:tcW w:w="1839" w:type="dxa"/>
            <w:tcBorders>
              <w:top w:val="single" w:color="000000" w:sz="12" w:space="0"/>
              <w:bottom w:val="single" w:color="000000" w:sz="8" w:space="0"/>
              <w:tl2br w:val="nil"/>
              <w:tr2bl w:val="nil"/>
            </w:tcBorders>
          </w:tcPr>
          <w:p w14:paraId="35AD4AEA">
            <w:pPr>
              <w:jc w:val="center"/>
            </w:pPr>
            <w:r>
              <w:rPr>
                <w:rFonts w:hint="eastAsia"/>
              </w:rPr>
              <w:t>型号</w:t>
            </w:r>
          </w:p>
        </w:tc>
        <w:tc>
          <w:tcPr>
            <w:tcW w:w="3843" w:type="dxa"/>
            <w:tcBorders>
              <w:top w:val="single" w:color="000000" w:sz="12" w:space="0"/>
              <w:bottom w:val="single" w:color="000000" w:sz="8" w:space="0"/>
              <w:tl2br w:val="nil"/>
              <w:tr2bl w:val="nil"/>
            </w:tcBorders>
          </w:tcPr>
          <w:p w14:paraId="4DFD2CB5">
            <w:pPr>
              <w:jc w:val="center"/>
            </w:pPr>
            <w:r>
              <w:rPr>
                <w:rFonts w:hint="eastAsia"/>
              </w:rPr>
              <w:t>生产厂家</w:t>
            </w:r>
          </w:p>
        </w:tc>
      </w:tr>
      <w:tr w14:paraId="3321FDD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8" w:space="0"/>
              <w:tl2br w:val="nil"/>
              <w:tr2bl w:val="nil"/>
            </w:tcBorders>
          </w:tcPr>
          <w:p w14:paraId="0F59FC32">
            <w:pPr>
              <w:jc w:val="center"/>
            </w:pPr>
            <w:r>
              <w:t>立式自动压力蒸汽灭菌锅</w:t>
            </w:r>
          </w:p>
        </w:tc>
        <w:tc>
          <w:tcPr>
            <w:tcW w:w="1839" w:type="dxa"/>
            <w:tcBorders>
              <w:top w:val="single" w:color="000000" w:sz="8" w:space="0"/>
              <w:tl2br w:val="nil"/>
              <w:tr2bl w:val="nil"/>
            </w:tcBorders>
          </w:tcPr>
          <w:p w14:paraId="34F3C7CD">
            <w:pPr>
              <w:jc w:val="center"/>
            </w:pPr>
            <w:r>
              <w:t>G154TW</w:t>
            </w:r>
          </w:p>
        </w:tc>
        <w:tc>
          <w:tcPr>
            <w:tcW w:w="3843" w:type="dxa"/>
            <w:tcBorders>
              <w:top w:val="single" w:color="000000" w:sz="8" w:space="0"/>
              <w:tl2br w:val="nil"/>
              <w:tr2bl w:val="nil"/>
            </w:tcBorders>
          </w:tcPr>
          <w:p w14:paraId="2AF5F658">
            <w:pPr>
              <w:jc w:val="center"/>
            </w:pPr>
            <w:r>
              <w:t>致微（厦门）仪器有限公司</w:t>
            </w:r>
          </w:p>
        </w:tc>
      </w:tr>
      <w:tr w14:paraId="1BADEB0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24D3CEA4">
            <w:pPr>
              <w:jc w:val="center"/>
            </w:pPr>
            <w:r>
              <w:t>电子分析天平</w:t>
            </w:r>
          </w:p>
        </w:tc>
        <w:tc>
          <w:tcPr>
            <w:tcW w:w="1839" w:type="dxa"/>
            <w:tcBorders>
              <w:tl2br w:val="nil"/>
              <w:tr2bl w:val="nil"/>
            </w:tcBorders>
          </w:tcPr>
          <w:p w14:paraId="6CA1A7DB">
            <w:pPr>
              <w:jc w:val="center"/>
            </w:pPr>
            <w:r>
              <w:t>AJ5003</w:t>
            </w:r>
          </w:p>
        </w:tc>
        <w:tc>
          <w:tcPr>
            <w:tcW w:w="3843" w:type="dxa"/>
            <w:tcBorders>
              <w:tl2br w:val="nil"/>
              <w:tr2bl w:val="nil"/>
            </w:tcBorders>
          </w:tcPr>
          <w:p w14:paraId="6DFFBB8A">
            <w:pPr>
              <w:jc w:val="center"/>
            </w:pPr>
            <w:r>
              <w:t>上海舜宇恒平科学仪器有限公司</w:t>
            </w:r>
          </w:p>
        </w:tc>
      </w:tr>
      <w:tr w14:paraId="6CA87E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317A026F">
            <w:pPr>
              <w:jc w:val="center"/>
            </w:pPr>
            <w:r>
              <w:t>微波炉</w:t>
            </w:r>
          </w:p>
        </w:tc>
        <w:tc>
          <w:tcPr>
            <w:tcW w:w="1839" w:type="dxa"/>
            <w:tcBorders>
              <w:tl2br w:val="nil"/>
              <w:tr2bl w:val="nil"/>
            </w:tcBorders>
          </w:tcPr>
          <w:p w14:paraId="2B55775F">
            <w:pPr>
              <w:jc w:val="center"/>
            </w:pPr>
            <w:r>
              <w:t>M3-L253C</w:t>
            </w:r>
          </w:p>
        </w:tc>
        <w:tc>
          <w:tcPr>
            <w:tcW w:w="3843" w:type="dxa"/>
            <w:tcBorders>
              <w:tl2br w:val="nil"/>
              <w:tr2bl w:val="nil"/>
            </w:tcBorders>
          </w:tcPr>
          <w:p w14:paraId="74CBFD04">
            <w:pPr>
              <w:jc w:val="center"/>
            </w:pPr>
            <w:r>
              <w:t>广东美的厨房电器制造有限公司</w:t>
            </w:r>
          </w:p>
        </w:tc>
      </w:tr>
      <w:tr w14:paraId="154199B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4DB3C1AE">
            <w:pPr>
              <w:jc w:val="center"/>
            </w:pPr>
            <w:r>
              <w:t>光学显微镜</w:t>
            </w:r>
          </w:p>
        </w:tc>
        <w:tc>
          <w:tcPr>
            <w:tcW w:w="1839" w:type="dxa"/>
            <w:tcBorders>
              <w:tl2br w:val="nil"/>
              <w:tr2bl w:val="nil"/>
            </w:tcBorders>
          </w:tcPr>
          <w:p w14:paraId="4CD5114C">
            <w:pPr>
              <w:jc w:val="center"/>
            </w:pPr>
            <w:r>
              <w:t>DM2500</w:t>
            </w:r>
          </w:p>
        </w:tc>
        <w:tc>
          <w:tcPr>
            <w:tcW w:w="3843" w:type="dxa"/>
            <w:tcBorders>
              <w:tl2br w:val="nil"/>
              <w:tr2bl w:val="nil"/>
            </w:tcBorders>
          </w:tcPr>
          <w:p w14:paraId="3E24B1B5">
            <w:pPr>
              <w:jc w:val="center"/>
            </w:pPr>
            <w:r>
              <w:t>CMSGmbH,Wetzlar,Germany</w:t>
            </w:r>
          </w:p>
        </w:tc>
      </w:tr>
      <w:tr w14:paraId="5D3071C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41891B7A">
            <w:pPr>
              <w:jc w:val="center"/>
            </w:pPr>
            <w:r>
              <w:t>电热恒温水浴锅</w:t>
            </w:r>
          </w:p>
        </w:tc>
        <w:tc>
          <w:tcPr>
            <w:tcW w:w="1839" w:type="dxa"/>
            <w:tcBorders>
              <w:tl2br w:val="nil"/>
              <w:tr2bl w:val="nil"/>
            </w:tcBorders>
          </w:tcPr>
          <w:p w14:paraId="51F172D5">
            <w:pPr>
              <w:jc w:val="center"/>
            </w:pPr>
            <w:r>
              <w:t>11380</w:t>
            </w:r>
          </w:p>
        </w:tc>
        <w:tc>
          <w:tcPr>
            <w:tcW w:w="3843" w:type="dxa"/>
            <w:tcBorders>
              <w:tl2br w:val="nil"/>
              <w:tr2bl w:val="nil"/>
            </w:tcBorders>
          </w:tcPr>
          <w:p w14:paraId="5EDFCC40">
            <w:pPr>
              <w:jc w:val="center"/>
            </w:pPr>
            <w:r>
              <w:t>天津市泰斯特仪器有限公司</w:t>
            </w:r>
          </w:p>
        </w:tc>
      </w:tr>
      <w:tr w14:paraId="1A97337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41174228">
            <w:pPr>
              <w:jc w:val="center"/>
            </w:pPr>
            <w:r>
              <w:t>超净工作台</w:t>
            </w:r>
          </w:p>
        </w:tc>
        <w:tc>
          <w:tcPr>
            <w:tcW w:w="1839" w:type="dxa"/>
            <w:tcBorders>
              <w:tl2br w:val="nil"/>
              <w:tr2bl w:val="nil"/>
            </w:tcBorders>
          </w:tcPr>
          <w:p w14:paraId="0D2FC869">
            <w:pPr>
              <w:jc w:val="center"/>
            </w:pPr>
            <w:r>
              <w:t>A18127727</w:t>
            </w:r>
          </w:p>
        </w:tc>
        <w:tc>
          <w:tcPr>
            <w:tcW w:w="3843" w:type="dxa"/>
            <w:tcBorders>
              <w:tl2br w:val="nil"/>
              <w:tr2bl w:val="nil"/>
            </w:tcBorders>
          </w:tcPr>
          <w:p w14:paraId="39677C6B">
            <w:pPr>
              <w:jc w:val="center"/>
            </w:pPr>
            <w:r>
              <w:t>苏州安泰空气技术有限公司</w:t>
            </w:r>
          </w:p>
        </w:tc>
      </w:tr>
      <w:tr w14:paraId="42CE58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62B2463C">
            <w:pPr>
              <w:jc w:val="center"/>
            </w:pPr>
            <w:r>
              <w:t>光照培养箱</w:t>
            </w:r>
          </w:p>
        </w:tc>
        <w:tc>
          <w:tcPr>
            <w:tcW w:w="1839" w:type="dxa"/>
            <w:tcBorders>
              <w:tl2br w:val="nil"/>
              <w:tr2bl w:val="nil"/>
            </w:tcBorders>
          </w:tcPr>
          <w:p w14:paraId="561DE31B">
            <w:pPr>
              <w:jc w:val="center"/>
            </w:pPr>
            <w:r>
              <w:t>HGZ-400</w:t>
            </w:r>
          </w:p>
        </w:tc>
        <w:tc>
          <w:tcPr>
            <w:tcW w:w="3843" w:type="dxa"/>
            <w:tcBorders>
              <w:tl2br w:val="nil"/>
              <w:tr2bl w:val="nil"/>
            </w:tcBorders>
          </w:tcPr>
          <w:p w14:paraId="34AC1CE4">
            <w:pPr>
              <w:jc w:val="center"/>
            </w:pPr>
            <w:r>
              <w:t>上海慧泰仪器制造有限公司</w:t>
            </w:r>
          </w:p>
        </w:tc>
      </w:tr>
      <w:tr w14:paraId="7BF468F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789B719C">
            <w:pPr>
              <w:jc w:val="center"/>
            </w:pPr>
            <w:r>
              <w:t>PCR扩增仪</w:t>
            </w:r>
          </w:p>
        </w:tc>
        <w:tc>
          <w:tcPr>
            <w:tcW w:w="1839" w:type="dxa"/>
            <w:tcBorders>
              <w:tl2br w:val="nil"/>
              <w:tr2bl w:val="nil"/>
            </w:tcBorders>
          </w:tcPr>
          <w:p w14:paraId="1AE80544">
            <w:pPr>
              <w:jc w:val="center"/>
            </w:pPr>
            <w:r>
              <w:t>T100</w:t>
            </w:r>
          </w:p>
        </w:tc>
        <w:tc>
          <w:tcPr>
            <w:tcW w:w="3843" w:type="dxa"/>
            <w:tcBorders>
              <w:tl2br w:val="nil"/>
              <w:tr2bl w:val="nil"/>
            </w:tcBorders>
          </w:tcPr>
          <w:p w14:paraId="67531213">
            <w:pPr>
              <w:jc w:val="center"/>
            </w:pPr>
            <w:r>
              <w:t>上海艾研生物科技发展有限公司</w:t>
            </w:r>
          </w:p>
        </w:tc>
      </w:tr>
      <w:tr w14:paraId="22AFCC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2138FD33">
            <w:pPr>
              <w:jc w:val="center"/>
            </w:pPr>
            <w:r>
              <w:t>水平电泳仪</w:t>
            </w:r>
          </w:p>
        </w:tc>
        <w:tc>
          <w:tcPr>
            <w:tcW w:w="1839" w:type="dxa"/>
            <w:tcBorders>
              <w:tl2br w:val="nil"/>
              <w:tr2bl w:val="nil"/>
            </w:tcBorders>
          </w:tcPr>
          <w:p w14:paraId="49206031">
            <w:pPr>
              <w:jc w:val="center"/>
            </w:pPr>
            <w:r>
              <w:t>MP-300V</w:t>
            </w:r>
          </w:p>
        </w:tc>
        <w:tc>
          <w:tcPr>
            <w:tcW w:w="3843" w:type="dxa"/>
            <w:tcBorders>
              <w:tl2br w:val="nil"/>
              <w:tr2bl w:val="nil"/>
            </w:tcBorders>
          </w:tcPr>
          <w:p w14:paraId="49B47C81">
            <w:pPr>
              <w:jc w:val="center"/>
            </w:pPr>
            <w:r>
              <w:t>Intertek4004030</w:t>
            </w:r>
          </w:p>
        </w:tc>
      </w:tr>
      <w:tr w14:paraId="0A5E3C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14:paraId="37A5065A">
            <w:pPr>
              <w:jc w:val="center"/>
            </w:pPr>
            <w:r>
              <w:t>凝胶成像分析系统</w:t>
            </w:r>
          </w:p>
        </w:tc>
        <w:tc>
          <w:tcPr>
            <w:tcW w:w="1839" w:type="dxa"/>
            <w:tcBorders>
              <w:tl2br w:val="nil"/>
              <w:tr2bl w:val="nil"/>
            </w:tcBorders>
          </w:tcPr>
          <w:p w14:paraId="0041489E">
            <w:pPr>
              <w:jc w:val="center"/>
            </w:pPr>
            <w:r>
              <w:t>12200157</w:t>
            </w:r>
          </w:p>
        </w:tc>
        <w:tc>
          <w:tcPr>
            <w:tcW w:w="3843" w:type="dxa"/>
            <w:tcBorders>
              <w:tl2br w:val="nil"/>
              <w:tr2bl w:val="nil"/>
            </w:tcBorders>
          </w:tcPr>
          <w:p w14:paraId="37D4A84E">
            <w:pPr>
              <w:jc w:val="center"/>
            </w:pPr>
            <w:r>
              <w:t>北京五洲东方科技发展有限公司</w:t>
            </w:r>
          </w:p>
        </w:tc>
      </w:tr>
      <w:tr w14:paraId="261788A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000000" w:sz="12" w:space="0"/>
              <w:tl2br w:val="nil"/>
              <w:tr2bl w:val="nil"/>
            </w:tcBorders>
          </w:tcPr>
          <w:p w14:paraId="48D69729">
            <w:pPr>
              <w:jc w:val="center"/>
            </w:pPr>
            <w:r>
              <w:t>医用离心机</w:t>
            </w:r>
          </w:p>
        </w:tc>
        <w:tc>
          <w:tcPr>
            <w:tcW w:w="1839" w:type="dxa"/>
            <w:tcBorders>
              <w:bottom w:val="single" w:color="000000" w:sz="12" w:space="0"/>
              <w:tl2br w:val="nil"/>
              <w:tr2bl w:val="nil"/>
            </w:tcBorders>
          </w:tcPr>
          <w:p w14:paraId="2B11032E">
            <w:pPr>
              <w:jc w:val="center"/>
            </w:pPr>
            <w:r>
              <w:t>H1650</w:t>
            </w:r>
          </w:p>
        </w:tc>
        <w:tc>
          <w:tcPr>
            <w:tcW w:w="3843" w:type="dxa"/>
            <w:tcBorders>
              <w:bottom w:val="single" w:color="000000" w:sz="12" w:space="0"/>
              <w:tl2br w:val="nil"/>
              <w:tr2bl w:val="nil"/>
            </w:tcBorders>
          </w:tcPr>
          <w:p w14:paraId="1BEC2DD3">
            <w:pPr>
              <w:jc w:val="center"/>
            </w:pPr>
            <w:r>
              <w:t>湖南湘仪实验室仪器有限公司</w:t>
            </w:r>
          </w:p>
        </w:tc>
      </w:tr>
    </w:tbl>
    <w:p w14:paraId="3957DC43">
      <w:pPr>
        <w:pStyle w:val="3"/>
      </w:pPr>
      <w:r>
        <w:rPr>
          <w:rFonts w:hint="eastAsia"/>
        </w:rPr>
        <w:t>3.2方法</w:t>
      </w:r>
    </w:p>
    <w:p w14:paraId="6EB06AD3">
      <w:pPr>
        <w:pStyle w:val="4"/>
      </w:pPr>
      <w:r>
        <w:rPr>
          <w:rFonts w:hint="eastAsia"/>
        </w:rPr>
        <w:t>3.2.1病原菌分离与纯化</w:t>
      </w:r>
    </w:p>
    <w:p w14:paraId="3BC02D0B">
      <w:pPr>
        <w:ind w:firstLine="420" w:firstLineChars="200"/>
      </w:pPr>
      <w:r>
        <w:t>参考邱泽澜</w:t>
      </w:r>
      <w:r>
        <w:rPr>
          <w:vertAlign w:val="superscript"/>
        </w:rPr>
        <w:fldChar w:fldCharType="begin"/>
      </w:r>
      <w:r>
        <w:rPr>
          <w:vertAlign w:val="superscript"/>
        </w:rPr>
        <w:instrText xml:space="preserve"> REF _Ref8667 \r \h </w:instrText>
      </w:r>
      <w:r>
        <w:rPr>
          <w:vertAlign w:val="superscript"/>
        </w:rPr>
        <w:fldChar w:fldCharType="separate"/>
      </w:r>
      <w:r>
        <w:rPr>
          <w:vertAlign w:val="superscript"/>
        </w:rPr>
        <w:t>[3]</w:t>
      </w:r>
      <w:r>
        <w:rPr>
          <w:vertAlign w:val="superscript"/>
        </w:rPr>
        <w:fldChar w:fldCharType="end"/>
      </w:r>
      <w:r>
        <w:t>等较为常规的组织分离法分离纯化得到病原菌，具体操作如下：把采集到的患叶斑病的牛大力叶用无菌水洗干净晾干，超净工作台中在病叶的发病与健康交接处用灭过菌的剪刀剪取5mm×5mm左右大小的组织块，将组织块首先浸泡在75%的酒精中10s左右，接着用无菌水充分冲洗3次，沥干水分晾干后，把组织块转移到PDA培养基中培养，培养温度设为28℃。等平板长出菌落时，挑取菌落进行纯化培养。运用新鲜的培养基进行单孢分离，待长出菌株后，在这些菌株中挑选一株生长状况良好的菌株，编号记为N2-2放置4℃冰箱中储存备用。</w:t>
      </w:r>
    </w:p>
    <w:p w14:paraId="1E9DFAB4">
      <w:pPr>
        <w:pStyle w:val="4"/>
      </w:pPr>
      <w:r>
        <w:rPr>
          <w:rFonts w:hint="eastAsia"/>
        </w:rPr>
        <w:t>3</w:t>
      </w:r>
      <w:r>
        <w:t>.2.2致病性测定</w:t>
      </w:r>
    </w:p>
    <w:p w14:paraId="3A3E348B">
      <w:pPr>
        <w:ind w:firstLine="420" w:firstLineChars="200"/>
      </w:pPr>
      <w:r>
        <w:t>参照王晓宇</w:t>
      </w:r>
      <w:r>
        <w:rPr>
          <w:vertAlign w:val="superscript"/>
        </w:rPr>
        <w:fldChar w:fldCharType="begin"/>
      </w:r>
      <w:r>
        <w:rPr>
          <w:vertAlign w:val="superscript"/>
        </w:rPr>
        <w:instrText xml:space="preserve"> REF _Ref9363 \r \h </w:instrText>
      </w:r>
      <w:r>
        <w:rPr>
          <w:vertAlign w:val="superscript"/>
        </w:rPr>
        <w:fldChar w:fldCharType="separate"/>
      </w:r>
      <w:r>
        <w:rPr>
          <w:vertAlign w:val="superscript"/>
        </w:rPr>
        <w:t>[4]</w:t>
      </w:r>
      <w:r>
        <w:rPr>
          <w:vertAlign w:val="superscript"/>
        </w:rPr>
        <w:fldChar w:fldCharType="end"/>
      </w:r>
      <w:r>
        <w:t>等方法测定N2-2菌株的致病性。选用无病害的牛大力幼苗植株作为实验植株，把健康的牛大力叶用无菌水擦拭干净，再用75%的酒精消毒，待叶子晾干后用灭过菌的牙签轻轻刺破接种处的表皮制作伤口，用无菌的枪头打1cm左右大小的已用PDA培养基培养好的菌块，再用灭过菌的接种环挑取菌丝块使有菌丝一面与伤口接触覆盖在叶子上，用空白PDA培养基作为对照，叶子表面均用无菌水浸湿的棉花覆盖其上并套上透明塑料袋以起到保湿的作用，每天观察叶片病害的发生情况，并拍照记录。对病叶进行再分离纯化，检测致病性，证实柯赫氏法则。</w:t>
      </w:r>
    </w:p>
    <w:p w14:paraId="4FE80329">
      <w:pPr>
        <w:pStyle w:val="4"/>
      </w:pPr>
      <w:r>
        <w:rPr>
          <w:rFonts w:hint="eastAsia"/>
        </w:rPr>
        <w:t>3</w:t>
      </w:r>
      <w:r>
        <w:t>.2.3病原菌鉴定</w:t>
      </w:r>
    </w:p>
    <w:p w14:paraId="6EFE675A">
      <w:r>
        <w:t>（1）形态学鉴定</w:t>
      </w:r>
    </w:p>
    <w:p w14:paraId="27F21106">
      <w:pPr>
        <w:ind w:firstLine="420" w:firstLineChars="200"/>
      </w:pPr>
      <w:r>
        <w:t>把分离纯化得到的菌株接种到含有新鲜PDA培养基的平板上28℃培养5d，观察菌落形态和颜色，7-8d后挑取菌丝制作玻片运用光学显微镜观察测量该病原菌的孢子并拍照做好记录</w:t>
      </w:r>
      <w:r>
        <w:rPr>
          <w:vertAlign w:val="superscript"/>
        </w:rPr>
        <w:fldChar w:fldCharType="begin"/>
      </w:r>
      <w:r>
        <w:rPr>
          <w:vertAlign w:val="superscript"/>
        </w:rPr>
        <w:instrText xml:space="preserve"> REF _Ref10352 \r \h </w:instrText>
      </w:r>
      <w:r>
        <w:rPr>
          <w:vertAlign w:val="superscript"/>
        </w:rPr>
        <w:fldChar w:fldCharType="separate"/>
      </w:r>
      <w:r>
        <w:rPr>
          <w:vertAlign w:val="superscript"/>
        </w:rPr>
        <w:t>[5]</w:t>
      </w:r>
      <w:r>
        <w:rPr>
          <w:vertAlign w:val="superscript"/>
        </w:rPr>
        <w:fldChar w:fldCharType="end"/>
      </w:r>
      <w:r>
        <w:t>。</w:t>
      </w:r>
    </w:p>
    <w:p w14:paraId="058DFDC5">
      <w:r>
        <w:t>（2）分子鉴定</w:t>
      </w:r>
    </w:p>
    <w:p w14:paraId="2851FD8B">
      <w:pPr>
        <w:ind w:firstLine="420" w:firstLineChars="200"/>
      </w:pPr>
      <w:r>
        <w:t>从分离纯化得到的菌株平板上挑取菌饼接种在PDA培养基上28℃培养7-8d，随后利用真菌基因组DNA快速抽提试剂盒（B518229-0100）来提取该株病原菌的总DNA。用所提取的N2-2总DNA为PCR模板，采用通用引物和特异性引物</w:t>
      </w:r>
      <w:r>
        <w:rPr>
          <w:vertAlign w:val="superscript"/>
        </w:rPr>
        <w:fldChar w:fldCharType="begin"/>
      </w:r>
      <w:r>
        <w:rPr>
          <w:vertAlign w:val="superscript"/>
        </w:rPr>
        <w:instrText xml:space="preserve"> REF _Ref16051 \r \h </w:instrText>
      </w:r>
      <w:r>
        <w:rPr>
          <w:vertAlign w:val="superscript"/>
        </w:rPr>
        <w:fldChar w:fldCharType="separate"/>
      </w:r>
      <w:r>
        <w:rPr>
          <w:vertAlign w:val="superscript"/>
        </w:rPr>
        <w:t>[6]</w:t>
      </w:r>
      <w:r>
        <w:rPr>
          <w:vertAlign w:val="superscript"/>
        </w:rPr>
        <w:fldChar w:fldCharType="end"/>
      </w:r>
      <w:r>
        <w:t>来扩增该病原菌的DNA片段，PCR反应体系和反应条件如表</w:t>
      </w:r>
      <w:r>
        <w:rPr>
          <w:rFonts w:hint="eastAsia"/>
        </w:rPr>
        <w:t>1</w:t>
      </w:r>
      <w:r>
        <w:t>.2和表</w:t>
      </w:r>
      <w:r>
        <w:rPr>
          <w:rFonts w:hint="eastAsia"/>
        </w:rPr>
        <w:t>1</w:t>
      </w:r>
      <w:r>
        <w:t>.3所示。PCR反应结束后吸取2μL产物进行琼脂糖凝胶电泳检测，在凝胶成像分析系统下观察看到清晰、单一条带后，将PCR产物送到广州艾基生物有限公司测序，测序结果使用NCBI数据库比对，运用MEGA7.0软件采用邻接法、最大似然法构建系统进化发育树</w:t>
      </w:r>
      <w:r>
        <w:rPr>
          <w:vertAlign w:val="superscript"/>
        </w:rPr>
        <w:fldChar w:fldCharType="begin"/>
      </w:r>
      <w:r>
        <w:rPr>
          <w:vertAlign w:val="superscript"/>
        </w:rPr>
        <w:instrText xml:space="preserve"> REF _Ref10643 \r \h </w:instrText>
      </w:r>
      <w:r>
        <w:rPr>
          <w:vertAlign w:val="superscript"/>
        </w:rPr>
        <w:fldChar w:fldCharType="separate"/>
      </w:r>
      <w:r>
        <w:rPr>
          <w:vertAlign w:val="superscript"/>
        </w:rPr>
        <w:t>[7]</w:t>
      </w:r>
      <w:r>
        <w:rPr>
          <w:vertAlign w:val="superscript"/>
        </w:rPr>
        <w:fldChar w:fldCharType="end"/>
      </w:r>
      <w:r>
        <w:t>。</w:t>
      </w:r>
    </w:p>
    <w:p w14:paraId="348E6EDC">
      <w:pPr>
        <w:ind w:firstLine="420" w:firstLineChars="200"/>
      </w:pPr>
    </w:p>
    <w:p w14:paraId="58EE2495">
      <w:pPr>
        <w:ind w:firstLine="420" w:firstLineChars="200"/>
      </w:pPr>
    </w:p>
    <w:p w14:paraId="540B69F6">
      <w:pPr>
        <w:ind w:firstLine="420" w:firstLineChars="200"/>
      </w:pPr>
    </w:p>
    <w:p w14:paraId="4D81BAF5">
      <w:pPr>
        <w:ind w:firstLine="420" w:firstLineChars="200"/>
      </w:pPr>
    </w:p>
    <w:p w14:paraId="0D0396DD">
      <w:pPr>
        <w:ind w:firstLine="420" w:firstLineChars="200"/>
      </w:pPr>
    </w:p>
    <w:tbl>
      <w:tblPr>
        <w:tblStyle w:val="6"/>
        <w:tblW w:w="0" w:type="auto"/>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153AFF91">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0" w:hRule="atLeast"/>
        </w:trPr>
        <w:tc>
          <w:tcPr>
            <w:tcW w:w="8522" w:type="dxa"/>
            <w:gridSpan w:val="2"/>
            <w:tcBorders>
              <w:bottom w:val="single" w:color="000000" w:sz="8" w:space="0"/>
              <w:tl2br w:val="nil"/>
              <w:tr2bl w:val="nil"/>
            </w:tcBorders>
          </w:tcPr>
          <w:p w14:paraId="257A7608">
            <w:pPr>
              <w:jc w:val="center"/>
            </w:pPr>
            <w:r>
              <w:t>表</w:t>
            </w:r>
            <w:r>
              <w:rPr>
                <w:rFonts w:hint="eastAsia"/>
              </w:rPr>
              <w:t>1</w:t>
            </w:r>
            <w:r>
              <w:t>.2PCR反应体系</w:t>
            </w:r>
          </w:p>
          <w:p w14:paraId="73D577E4">
            <w:pPr>
              <w:jc w:val="center"/>
            </w:pPr>
            <w:r>
              <w:t>Table</w:t>
            </w:r>
            <w:r>
              <w:rPr>
                <w:rFonts w:hint="eastAsia"/>
              </w:rPr>
              <w:t xml:space="preserve"> 1</w:t>
            </w:r>
            <w:r>
              <w:t>.2</w:t>
            </w:r>
            <w:r>
              <w:rPr>
                <w:rFonts w:hint="eastAsia"/>
              </w:rPr>
              <w:t xml:space="preserve"> </w:t>
            </w:r>
            <w:r>
              <w:t>PCR reaction system</w:t>
            </w:r>
          </w:p>
        </w:tc>
      </w:tr>
      <w:tr w14:paraId="779FEF4C">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000000" w:sz="8" w:space="0"/>
              <w:tl2br w:val="nil"/>
              <w:tr2bl w:val="nil"/>
            </w:tcBorders>
          </w:tcPr>
          <w:p w14:paraId="1FB992AE">
            <w:pPr>
              <w:jc w:val="center"/>
            </w:pPr>
            <w:r>
              <w:t>PCR反应体系50μL</w:t>
            </w:r>
          </w:p>
        </w:tc>
        <w:tc>
          <w:tcPr>
            <w:tcW w:w="4261" w:type="dxa"/>
            <w:tcBorders>
              <w:top w:val="single" w:color="000000" w:sz="8" w:space="0"/>
              <w:tl2br w:val="nil"/>
              <w:tr2bl w:val="nil"/>
            </w:tcBorders>
          </w:tcPr>
          <w:p w14:paraId="5226F876">
            <w:pPr>
              <w:jc w:val="center"/>
            </w:pPr>
            <w:r>
              <w:rPr>
                <w:rFonts w:hint="eastAsia"/>
              </w:rPr>
              <w:t>体积</w:t>
            </w:r>
          </w:p>
        </w:tc>
      </w:tr>
      <w:tr w14:paraId="40943C84">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14:paraId="1A4F8DDE">
            <w:pPr>
              <w:jc w:val="center"/>
            </w:pPr>
            <w:r>
              <w:t>ITS1</w:t>
            </w:r>
          </w:p>
        </w:tc>
        <w:tc>
          <w:tcPr>
            <w:tcW w:w="4261" w:type="dxa"/>
            <w:tcBorders>
              <w:tl2br w:val="nil"/>
              <w:tr2bl w:val="nil"/>
            </w:tcBorders>
          </w:tcPr>
          <w:p w14:paraId="016155D2">
            <w:pPr>
              <w:jc w:val="center"/>
            </w:pPr>
            <w:r>
              <w:t>2μL</w:t>
            </w:r>
          </w:p>
        </w:tc>
      </w:tr>
      <w:tr w14:paraId="34EE498D">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14:paraId="39D1D95E">
            <w:pPr>
              <w:jc w:val="center"/>
            </w:pPr>
            <w:r>
              <w:t>ITS4</w:t>
            </w:r>
          </w:p>
        </w:tc>
        <w:tc>
          <w:tcPr>
            <w:tcW w:w="4261" w:type="dxa"/>
            <w:tcBorders>
              <w:tl2br w:val="nil"/>
              <w:tr2bl w:val="nil"/>
            </w:tcBorders>
          </w:tcPr>
          <w:p w14:paraId="77A37864">
            <w:pPr>
              <w:jc w:val="center"/>
            </w:pPr>
            <w:r>
              <w:t>2μL</w:t>
            </w:r>
          </w:p>
        </w:tc>
      </w:tr>
      <w:tr w14:paraId="02817974">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14:paraId="43F9C9A2">
            <w:pPr>
              <w:jc w:val="center"/>
            </w:pPr>
            <w:r>
              <w:t>DNA模板</w:t>
            </w:r>
          </w:p>
        </w:tc>
        <w:tc>
          <w:tcPr>
            <w:tcW w:w="4261" w:type="dxa"/>
            <w:tcBorders>
              <w:tl2br w:val="nil"/>
              <w:tr2bl w:val="nil"/>
            </w:tcBorders>
          </w:tcPr>
          <w:p w14:paraId="085D2202">
            <w:pPr>
              <w:jc w:val="center"/>
            </w:pPr>
            <w:r>
              <w:t>2μL</w:t>
            </w:r>
          </w:p>
        </w:tc>
      </w:tr>
      <w:tr w14:paraId="6DF38784">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14:paraId="549D5367">
            <w:pPr>
              <w:jc w:val="center"/>
            </w:pPr>
            <w:r>
              <w:t>ddH2O</w:t>
            </w:r>
          </w:p>
        </w:tc>
        <w:tc>
          <w:tcPr>
            <w:tcW w:w="4261" w:type="dxa"/>
            <w:tcBorders>
              <w:tl2br w:val="nil"/>
              <w:tr2bl w:val="nil"/>
            </w:tcBorders>
          </w:tcPr>
          <w:p w14:paraId="28A1507B">
            <w:pPr>
              <w:jc w:val="center"/>
            </w:pPr>
            <w:r>
              <w:t>19μL</w:t>
            </w:r>
          </w:p>
        </w:tc>
      </w:tr>
      <w:tr w14:paraId="2974A0FE">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000000" w:sz="8" w:space="0"/>
              <w:tl2br w:val="nil"/>
              <w:tr2bl w:val="nil"/>
            </w:tcBorders>
          </w:tcPr>
          <w:p w14:paraId="72EAFD5A">
            <w:pPr>
              <w:jc w:val="center"/>
            </w:pPr>
            <w:r>
              <w:t>2×SanTaq PCR Mix</w:t>
            </w:r>
          </w:p>
        </w:tc>
        <w:tc>
          <w:tcPr>
            <w:tcW w:w="4261" w:type="dxa"/>
            <w:tcBorders>
              <w:bottom w:val="single" w:color="000000" w:sz="8" w:space="0"/>
              <w:tl2br w:val="nil"/>
              <w:tr2bl w:val="nil"/>
            </w:tcBorders>
          </w:tcPr>
          <w:p w14:paraId="238D53C1">
            <w:pPr>
              <w:jc w:val="center"/>
            </w:pPr>
            <w:r>
              <w:t>25μL</w:t>
            </w:r>
          </w:p>
        </w:tc>
      </w:tr>
    </w:tbl>
    <w:p w14:paraId="6B2E8E6C"/>
    <w:p w14:paraId="2E2A5C77"/>
    <w:p w14:paraId="2AAB45C7"/>
    <w:p w14:paraId="518007CF"/>
    <w:tbl>
      <w:tblPr>
        <w:tblStyle w:val="6"/>
        <w:tblW w:w="0" w:type="auto"/>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1"/>
        <w:gridCol w:w="2382"/>
        <w:gridCol w:w="2033"/>
        <w:gridCol w:w="1814"/>
      </w:tblGrid>
      <w:tr w14:paraId="0C6D2644">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8520" w:type="dxa"/>
            <w:gridSpan w:val="4"/>
            <w:tcBorders>
              <w:bottom w:val="single" w:color="000000" w:sz="8" w:space="0"/>
              <w:tl2br w:val="nil"/>
              <w:tr2bl w:val="nil"/>
            </w:tcBorders>
          </w:tcPr>
          <w:p w14:paraId="78B8ED96">
            <w:pPr>
              <w:jc w:val="center"/>
              <w:rPr>
                <w:rFonts w:cstheme="minorEastAsia"/>
                <w:szCs w:val="21"/>
              </w:rPr>
            </w:pPr>
            <w:r>
              <w:rPr>
                <w:rFonts w:cstheme="minorEastAsia"/>
                <w:szCs w:val="21"/>
              </w:rPr>
              <w:t>表1.3PCR反应条件</w:t>
            </w:r>
          </w:p>
          <w:p w14:paraId="13510C91">
            <w:pPr>
              <w:jc w:val="center"/>
              <w:rPr>
                <w:rFonts w:cstheme="minorEastAsia"/>
                <w:szCs w:val="21"/>
              </w:rPr>
            </w:pPr>
            <w:r>
              <w:rPr>
                <w:rFonts w:cstheme="minorEastAsia"/>
                <w:szCs w:val="21"/>
              </w:rPr>
              <w:t>Table 2.3 PCR reaction conditions</w:t>
            </w:r>
          </w:p>
        </w:tc>
      </w:tr>
      <w:tr w14:paraId="6F2719ED">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top w:val="single" w:color="000000" w:sz="8" w:space="0"/>
              <w:tl2br w:val="nil"/>
              <w:tr2bl w:val="nil"/>
            </w:tcBorders>
          </w:tcPr>
          <w:p w14:paraId="4C6D3F90">
            <w:pPr>
              <w:jc w:val="center"/>
              <w:rPr>
                <w:rFonts w:cstheme="minorEastAsia"/>
                <w:szCs w:val="21"/>
              </w:rPr>
            </w:pPr>
            <w:r>
              <w:rPr>
                <w:rFonts w:cstheme="minorEastAsia"/>
                <w:szCs w:val="21"/>
              </w:rPr>
              <w:t>步骤</w:t>
            </w:r>
          </w:p>
        </w:tc>
        <w:tc>
          <w:tcPr>
            <w:tcW w:w="2382" w:type="dxa"/>
            <w:tcBorders>
              <w:top w:val="single" w:color="000000" w:sz="8" w:space="0"/>
              <w:tl2br w:val="nil"/>
              <w:tr2bl w:val="nil"/>
            </w:tcBorders>
          </w:tcPr>
          <w:p w14:paraId="3CDB4654">
            <w:pPr>
              <w:jc w:val="center"/>
              <w:rPr>
                <w:rFonts w:cstheme="minorEastAsia"/>
                <w:szCs w:val="21"/>
              </w:rPr>
            </w:pPr>
            <w:r>
              <w:rPr>
                <w:rFonts w:cstheme="minorEastAsia"/>
                <w:szCs w:val="21"/>
              </w:rPr>
              <w:t>温度</w:t>
            </w:r>
          </w:p>
        </w:tc>
        <w:tc>
          <w:tcPr>
            <w:tcW w:w="2033" w:type="dxa"/>
            <w:tcBorders>
              <w:top w:val="single" w:color="000000" w:sz="8" w:space="0"/>
              <w:tl2br w:val="nil"/>
              <w:tr2bl w:val="nil"/>
            </w:tcBorders>
          </w:tcPr>
          <w:p w14:paraId="01149338">
            <w:pPr>
              <w:jc w:val="center"/>
              <w:rPr>
                <w:rFonts w:cstheme="minorEastAsia"/>
                <w:szCs w:val="21"/>
              </w:rPr>
            </w:pPr>
            <w:r>
              <w:rPr>
                <w:rFonts w:cstheme="minorEastAsia"/>
                <w:szCs w:val="21"/>
              </w:rPr>
              <w:t>时间</w:t>
            </w:r>
          </w:p>
        </w:tc>
        <w:tc>
          <w:tcPr>
            <w:tcW w:w="1814" w:type="dxa"/>
            <w:tcBorders>
              <w:top w:val="single" w:color="000000" w:sz="8" w:space="0"/>
              <w:tl2br w:val="nil"/>
              <w:tr2bl w:val="nil"/>
            </w:tcBorders>
          </w:tcPr>
          <w:p w14:paraId="25420E2B">
            <w:pPr>
              <w:jc w:val="center"/>
              <w:rPr>
                <w:rFonts w:cstheme="minorEastAsia"/>
                <w:szCs w:val="21"/>
              </w:rPr>
            </w:pPr>
            <w:r>
              <w:rPr>
                <w:rFonts w:cstheme="minorEastAsia"/>
                <w:szCs w:val="21"/>
              </w:rPr>
              <w:t>循环数</w:t>
            </w:r>
          </w:p>
        </w:tc>
      </w:tr>
      <w:tr w14:paraId="3112B939">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tl2br w:val="nil"/>
              <w:tr2bl w:val="nil"/>
            </w:tcBorders>
          </w:tcPr>
          <w:p w14:paraId="46000230">
            <w:pPr>
              <w:jc w:val="center"/>
              <w:rPr>
                <w:rFonts w:cstheme="minorEastAsia"/>
                <w:szCs w:val="21"/>
              </w:rPr>
            </w:pPr>
            <w:r>
              <w:rPr>
                <w:rFonts w:cstheme="minorEastAsia"/>
                <w:szCs w:val="21"/>
              </w:rPr>
              <w:t>预变性</w:t>
            </w:r>
          </w:p>
        </w:tc>
        <w:tc>
          <w:tcPr>
            <w:tcW w:w="2382" w:type="dxa"/>
            <w:tcBorders>
              <w:tl2br w:val="nil"/>
              <w:tr2bl w:val="nil"/>
            </w:tcBorders>
          </w:tcPr>
          <w:p w14:paraId="36F96008">
            <w:pPr>
              <w:jc w:val="center"/>
              <w:rPr>
                <w:rFonts w:cstheme="minorEastAsia"/>
                <w:szCs w:val="21"/>
              </w:rPr>
            </w:pPr>
            <w:r>
              <w:rPr>
                <w:rFonts w:cstheme="minorEastAsia"/>
                <w:szCs w:val="21"/>
              </w:rPr>
              <w:t>95℃</w:t>
            </w:r>
          </w:p>
        </w:tc>
        <w:tc>
          <w:tcPr>
            <w:tcW w:w="2033" w:type="dxa"/>
            <w:tcBorders>
              <w:tl2br w:val="nil"/>
              <w:tr2bl w:val="nil"/>
            </w:tcBorders>
          </w:tcPr>
          <w:p w14:paraId="1B20793C">
            <w:pPr>
              <w:jc w:val="center"/>
              <w:rPr>
                <w:rFonts w:cstheme="minorEastAsia"/>
                <w:szCs w:val="21"/>
              </w:rPr>
            </w:pPr>
            <w:r>
              <w:rPr>
                <w:rFonts w:cstheme="minorEastAsia"/>
                <w:szCs w:val="21"/>
              </w:rPr>
              <w:t>3min</w:t>
            </w:r>
          </w:p>
        </w:tc>
        <w:tc>
          <w:tcPr>
            <w:tcW w:w="1814" w:type="dxa"/>
            <w:vMerge w:val="restart"/>
            <w:tcBorders>
              <w:tl2br w:val="nil"/>
              <w:tr2bl w:val="nil"/>
            </w:tcBorders>
            <w:vAlign w:val="center"/>
          </w:tcPr>
          <w:p w14:paraId="11486AF2">
            <w:pPr>
              <w:jc w:val="center"/>
              <w:rPr>
                <w:rFonts w:cstheme="minorEastAsia"/>
                <w:szCs w:val="21"/>
              </w:rPr>
            </w:pPr>
            <w:r>
              <w:rPr>
                <w:rFonts w:cstheme="minorEastAsia"/>
                <w:szCs w:val="21"/>
              </w:rPr>
              <w:t>35cycles</w:t>
            </w:r>
          </w:p>
        </w:tc>
      </w:tr>
      <w:tr w14:paraId="14895640">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tl2br w:val="nil"/>
              <w:tr2bl w:val="nil"/>
            </w:tcBorders>
          </w:tcPr>
          <w:p w14:paraId="535150F4">
            <w:pPr>
              <w:widowControl/>
              <w:jc w:val="center"/>
              <w:rPr>
                <w:rFonts w:cstheme="minorEastAsia"/>
                <w:szCs w:val="21"/>
              </w:rPr>
            </w:pPr>
            <w:r>
              <w:rPr>
                <w:rFonts w:cstheme="minorEastAsia"/>
                <w:color w:val="000000"/>
                <w:kern w:val="0"/>
                <w:szCs w:val="21"/>
                <w:lang w:bidi="ar"/>
              </w:rPr>
              <w:t>变性</w:t>
            </w:r>
          </w:p>
        </w:tc>
        <w:tc>
          <w:tcPr>
            <w:tcW w:w="2382" w:type="dxa"/>
            <w:tcBorders>
              <w:tl2br w:val="nil"/>
              <w:tr2bl w:val="nil"/>
            </w:tcBorders>
          </w:tcPr>
          <w:p w14:paraId="6EF06E8B">
            <w:pPr>
              <w:jc w:val="center"/>
              <w:rPr>
                <w:rFonts w:cstheme="minorEastAsia"/>
                <w:szCs w:val="21"/>
              </w:rPr>
            </w:pPr>
            <w:r>
              <w:rPr>
                <w:rFonts w:cstheme="minorEastAsia"/>
                <w:szCs w:val="21"/>
              </w:rPr>
              <w:t>95℃</w:t>
            </w:r>
          </w:p>
        </w:tc>
        <w:tc>
          <w:tcPr>
            <w:tcW w:w="2033" w:type="dxa"/>
            <w:tcBorders>
              <w:tl2br w:val="nil"/>
              <w:tr2bl w:val="nil"/>
            </w:tcBorders>
          </w:tcPr>
          <w:p w14:paraId="2D64F771">
            <w:pPr>
              <w:jc w:val="center"/>
              <w:rPr>
                <w:rFonts w:cstheme="minorEastAsia"/>
                <w:szCs w:val="21"/>
              </w:rPr>
            </w:pPr>
            <w:r>
              <w:rPr>
                <w:rFonts w:cstheme="minorEastAsia"/>
                <w:szCs w:val="21"/>
              </w:rPr>
              <w:t>30sec</w:t>
            </w:r>
          </w:p>
        </w:tc>
        <w:tc>
          <w:tcPr>
            <w:tcW w:w="1814" w:type="dxa"/>
            <w:vMerge w:val="continue"/>
            <w:tcBorders>
              <w:tl2br w:val="nil"/>
              <w:tr2bl w:val="nil"/>
            </w:tcBorders>
          </w:tcPr>
          <w:p w14:paraId="1310A435">
            <w:pPr>
              <w:jc w:val="center"/>
              <w:rPr>
                <w:rFonts w:cstheme="minorEastAsia"/>
                <w:szCs w:val="21"/>
              </w:rPr>
            </w:pPr>
          </w:p>
        </w:tc>
      </w:tr>
      <w:tr w14:paraId="363AA397">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tl2br w:val="nil"/>
              <w:tr2bl w:val="nil"/>
            </w:tcBorders>
          </w:tcPr>
          <w:p w14:paraId="14519708">
            <w:pPr>
              <w:widowControl/>
              <w:jc w:val="center"/>
              <w:rPr>
                <w:rFonts w:cstheme="minorEastAsia"/>
                <w:szCs w:val="21"/>
              </w:rPr>
            </w:pPr>
            <w:r>
              <w:rPr>
                <w:rFonts w:cstheme="minorEastAsia"/>
                <w:color w:val="000000"/>
                <w:kern w:val="0"/>
                <w:szCs w:val="21"/>
                <w:lang w:bidi="ar"/>
              </w:rPr>
              <w:t>退火</w:t>
            </w:r>
          </w:p>
        </w:tc>
        <w:tc>
          <w:tcPr>
            <w:tcW w:w="2382" w:type="dxa"/>
            <w:tcBorders>
              <w:tl2br w:val="nil"/>
              <w:tr2bl w:val="nil"/>
            </w:tcBorders>
          </w:tcPr>
          <w:p w14:paraId="12F36427">
            <w:pPr>
              <w:jc w:val="center"/>
              <w:rPr>
                <w:rFonts w:cstheme="minorEastAsia"/>
                <w:szCs w:val="21"/>
              </w:rPr>
            </w:pPr>
            <w:r>
              <w:rPr>
                <w:rFonts w:cstheme="minorEastAsia"/>
                <w:szCs w:val="21"/>
              </w:rPr>
              <w:t>52℃</w:t>
            </w:r>
          </w:p>
        </w:tc>
        <w:tc>
          <w:tcPr>
            <w:tcW w:w="2033" w:type="dxa"/>
            <w:tcBorders>
              <w:tl2br w:val="nil"/>
              <w:tr2bl w:val="nil"/>
            </w:tcBorders>
          </w:tcPr>
          <w:p w14:paraId="599C8D99">
            <w:pPr>
              <w:jc w:val="center"/>
              <w:rPr>
                <w:rFonts w:cstheme="minorEastAsia"/>
                <w:szCs w:val="21"/>
              </w:rPr>
            </w:pPr>
            <w:r>
              <w:rPr>
                <w:rFonts w:cstheme="minorEastAsia"/>
                <w:szCs w:val="21"/>
              </w:rPr>
              <w:t>30sec</w:t>
            </w:r>
          </w:p>
        </w:tc>
        <w:tc>
          <w:tcPr>
            <w:tcW w:w="1814" w:type="dxa"/>
            <w:vMerge w:val="continue"/>
            <w:tcBorders>
              <w:tl2br w:val="nil"/>
              <w:tr2bl w:val="nil"/>
            </w:tcBorders>
          </w:tcPr>
          <w:p w14:paraId="2D746ECC">
            <w:pPr>
              <w:jc w:val="center"/>
              <w:rPr>
                <w:rFonts w:cstheme="minorEastAsia"/>
                <w:szCs w:val="21"/>
              </w:rPr>
            </w:pPr>
          </w:p>
        </w:tc>
      </w:tr>
      <w:tr w14:paraId="70E85168">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tl2br w:val="nil"/>
              <w:tr2bl w:val="nil"/>
            </w:tcBorders>
          </w:tcPr>
          <w:p w14:paraId="3E5CB1FD">
            <w:pPr>
              <w:widowControl/>
              <w:jc w:val="center"/>
              <w:rPr>
                <w:rFonts w:cstheme="minorEastAsia"/>
                <w:szCs w:val="21"/>
              </w:rPr>
            </w:pPr>
            <w:r>
              <w:rPr>
                <w:rFonts w:cstheme="minorEastAsia"/>
                <w:color w:val="000000"/>
                <w:kern w:val="0"/>
                <w:szCs w:val="21"/>
                <w:lang w:bidi="ar"/>
              </w:rPr>
              <w:t>延伸</w:t>
            </w:r>
          </w:p>
        </w:tc>
        <w:tc>
          <w:tcPr>
            <w:tcW w:w="2382" w:type="dxa"/>
            <w:tcBorders>
              <w:tl2br w:val="nil"/>
              <w:tr2bl w:val="nil"/>
            </w:tcBorders>
          </w:tcPr>
          <w:p w14:paraId="272001F4">
            <w:pPr>
              <w:jc w:val="center"/>
              <w:rPr>
                <w:rFonts w:cstheme="minorEastAsia"/>
                <w:szCs w:val="21"/>
              </w:rPr>
            </w:pPr>
            <w:r>
              <w:rPr>
                <w:rFonts w:cstheme="minorEastAsia"/>
                <w:szCs w:val="21"/>
              </w:rPr>
              <w:t>72℃</w:t>
            </w:r>
          </w:p>
        </w:tc>
        <w:tc>
          <w:tcPr>
            <w:tcW w:w="2033" w:type="dxa"/>
            <w:tcBorders>
              <w:tl2br w:val="nil"/>
              <w:tr2bl w:val="nil"/>
            </w:tcBorders>
          </w:tcPr>
          <w:p w14:paraId="51A7E205">
            <w:pPr>
              <w:jc w:val="center"/>
              <w:rPr>
                <w:rFonts w:cstheme="minorEastAsia"/>
                <w:szCs w:val="21"/>
              </w:rPr>
            </w:pPr>
            <w:r>
              <w:rPr>
                <w:rFonts w:cstheme="minorEastAsia"/>
                <w:szCs w:val="21"/>
              </w:rPr>
              <w:t>2min</w:t>
            </w:r>
          </w:p>
        </w:tc>
        <w:tc>
          <w:tcPr>
            <w:tcW w:w="1814" w:type="dxa"/>
            <w:vMerge w:val="continue"/>
            <w:tcBorders>
              <w:tl2br w:val="nil"/>
              <w:tr2bl w:val="nil"/>
            </w:tcBorders>
          </w:tcPr>
          <w:p w14:paraId="24D6C952">
            <w:pPr>
              <w:jc w:val="center"/>
              <w:rPr>
                <w:rFonts w:cstheme="minorEastAsia"/>
                <w:szCs w:val="21"/>
              </w:rPr>
            </w:pPr>
          </w:p>
        </w:tc>
      </w:tr>
      <w:tr w14:paraId="3851040E">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1" w:type="dxa"/>
            <w:tcBorders>
              <w:bottom w:val="single" w:color="000000" w:sz="8" w:space="0"/>
              <w:tl2br w:val="nil"/>
              <w:tr2bl w:val="nil"/>
            </w:tcBorders>
          </w:tcPr>
          <w:p w14:paraId="59F9C202">
            <w:pPr>
              <w:widowControl/>
              <w:jc w:val="center"/>
              <w:rPr>
                <w:rFonts w:cstheme="minorEastAsia"/>
                <w:szCs w:val="21"/>
              </w:rPr>
            </w:pPr>
            <w:r>
              <w:rPr>
                <w:rFonts w:cstheme="minorEastAsia"/>
                <w:color w:val="000000"/>
                <w:kern w:val="0"/>
                <w:szCs w:val="21"/>
                <w:lang w:bidi="ar"/>
              </w:rPr>
              <w:t>保存</w:t>
            </w:r>
          </w:p>
        </w:tc>
        <w:tc>
          <w:tcPr>
            <w:tcW w:w="2382" w:type="dxa"/>
            <w:tcBorders>
              <w:bottom w:val="single" w:color="000000" w:sz="8" w:space="0"/>
              <w:tl2br w:val="nil"/>
              <w:tr2bl w:val="nil"/>
            </w:tcBorders>
          </w:tcPr>
          <w:p w14:paraId="1589F1EC">
            <w:pPr>
              <w:jc w:val="center"/>
              <w:rPr>
                <w:rFonts w:cstheme="minorEastAsia"/>
                <w:szCs w:val="21"/>
              </w:rPr>
            </w:pPr>
            <w:r>
              <w:rPr>
                <w:rFonts w:cstheme="minorEastAsia"/>
                <w:szCs w:val="21"/>
              </w:rPr>
              <w:t>4℃</w:t>
            </w:r>
          </w:p>
        </w:tc>
        <w:tc>
          <w:tcPr>
            <w:tcW w:w="2033" w:type="dxa"/>
            <w:tcBorders>
              <w:bottom w:val="single" w:color="000000" w:sz="8" w:space="0"/>
              <w:tl2br w:val="nil"/>
              <w:tr2bl w:val="nil"/>
            </w:tcBorders>
          </w:tcPr>
          <w:p w14:paraId="15812E82">
            <w:pPr>
              <w:jc w:val="center"/>
              <w:rPr>
                <w:rFonts w:cstheme="minorEastAsia"/>
                <w:szCs w:val="21"/>
              </w:rPr>
            </w:pPr>
            <w:r>
              <w:rPr>
                <w:rFonts w:cstheme="minorEastAsia"/>
                <w:szCs w:val="21"/>
              </w:rPr>
              <w:t>∞</w:t>
            </w:r>
          </w:p>
        </w:tc>
        <w:tc>
          <w:tcPr>
            <w:tcW w:w="1814" w:type="dxa"/>
            <w:vMerge w:val="continue"/>
            <w:tcBorders>
              <w:bottom w:val="single" w:color="000000" w:sz="8" w:space="0"/>
              <w:tl2br w:val="nil"/>
              <w:tr2bl w:val="nil"/>
            </w:tcBorders>
          </w:tcPr>
          <w:p w14:paraId="1782369E">
            <w:pPr>
              <w:jc w:val="center"/>
              <w:rPr>
                <w:rFonts w:cstheme="minorEastAsia"/>
                <w:szCs w:val="21"/>
              </w:rPr>
            </w:pPr>
          </w:p>
        </w:tc>
      </w:tr>
    </w:tbl>
    <w:p w14:paraId="696B1D73"/>
    <w:p w14:paraId="61BC3874">
      <w:pPr>
        <w:pStyle w:val="4"/>
      </w:pPr>
      <w:r>
        <w:rPr>
          <w:rFonts w:hint="eastAsia"/>
        </w:rPr>
        <w:t>3</w:t>
      </w:r>
      <w:r>
        <w:t>.2.4生物学特性测定</w:t>
      </w:r>
    </w:p>
    <w:p w14:paraId="7BF7BB98">
      <w:pPr>
        <w:numPr>
          <w:ilvl w:val="0"/>
          <w:numId w:val="2"/>
        </w:numPr>
      </w:pPr>
      <w:r>
        <w:t>不同PH对牛大力叶斑病病原菌菌落生长的影响</w:t>
      </w:r>
    </w:p>
    <w:p w14:paraId="42F6A634">
      <w:pPr>
        <w:ind w:firstLine="420" w:firstLineChars="200"/>
      </w:pPr>
      <w:r>
        <w:t>在配制好的PDA灭菌培养基等待温度降至50℃左右未固化之前，使用1mol/LHCl溶液或1mol/LNaOH溶液</w:t>
      </w:r>
      <w:r>
        <w:rPr>
          <w:vertAlign w:val="superscript"/>
        </w:rPr>
        <w:fldChar w:fldCharType="begin"/>
      </w:r>
      <w:r>
        <w:rPr>
          <w:vertAlign w:val="superscript"/>
        </w:rPr>
        <w:instrText xml:space="preserve"> REF _Ref16537 \r \h </w:instrText>
      </w:r>
      <w:r>
        <w:rPr>
          <w:vertAlign w:val="superscript"/>
        </w:rPr>
        <w:fldChar w:fldCharType="separate"/>
      </w:r>
      <w:r>
        <w:rPr>
          <w:vertAlign w:val="superscript"/>
        </w:rPr>
        <w:t>[8]</w:t>
      </w:r>
      <w:r>
        <w:rPr>
          <w:vertAlign w:val="superscript"/>
        </w:rPr>
        <w:fldChar w:fldCharType="end"/>
      </w:r>
      <w:r>
        <w:t>把培养基的pH分别调节至3、4、5、6、7、8、9、10和11并倒平板形成平板培养基。用无菌打孔器将已培养好的N2-2打成5mm大小的菌饼，分别接种在不同pH的平板培养基中央，每组设置3个重复，在28℃的培养箱中培养，每2d使用十字交叉法测量菌落直径</w:t>
      </w:r>
      <w:r>
        <w:rPr>
          <w:vertAlign w:val="superscript"/>
        </w:rPr>
        <w:fldChar w:fldCharType="begin"/>
      </w:r>
      <w:r>
        <w:rPr>
          <w:vertAlign w:val="superscript"/>
        </w:rPr>
        <w:instrText xml:space="preserve"> REF _Ref16782 \r \h </w:instrText>
      </w:r>
      <w:r>
        <w:rPr>
          <w:vertAlign w:val="superscript"/>
        </w:rPr>
        <w:fldChar w:fldCharType="separate"/>
      </w:r>
      <w:r>
        <w:rPr>
          <w:vertAlign w:val="superscript"/>
        </w:rPr>
        <w:t>[9]</w:t>
      </w:r>
      <w:r>
        <w:rPr>
          <w:vertAlign w:val="superscript"/>
        </w:rPr>
        <w:fldChar w:fldCharType="end"/>
      </w:r>
      <w:r>
        <w:t>。</w:t>
      </w:r>
    </w:p>
    <w:p w14:paraId="30C08A9C"/>
    <w:p w14:paraId="395460B4">
      <w:r>
        <w:t>（2）不同温度对牛大力叶斑病病原菌菌落生长的影响</w:t>
      </w:r>
    </w:p>
    <w:p w14:paraId="57F520E9">
      <w:pPr>
        <w:ind w:firstLine="420" w:firstLineChars="200"/>
      </w:pPr>
      <w:r>
        <w:t>在超净工作台中，用打孔器和接种环将5mm大小的菌饼接种到PDA培养基平板上，分别放在20℃、24℃、28℃、32℃、36℃培养箱中培养，每组设置3个重复，每隔2d运用十字交叉法测量其直径，连续测量6d。</w:t>
      </w:r>
    </w:p>
    <w:p w14:paraId="517D8D25"/>
    <w:p w14:paraId="731A5F5D">
      <w:pPr>
        <w:numPr>
          <w:ilvl w:val="0"/>
          <w:numId w:val="2"/>
        </w:numPr>
      </w:pPr>
      <w:r>
        <w:t>不同光照对牛大力叶斑病病原菌菌落生长的影响</w:t>
      </w:r>
    </w:p>
    <w:p w14:paraId="02763C33">
      <w:pPr>
        <w:ind w:firstLine="420" w:firstLineChars="200"/>
      </w:pPr>
      <w:r>
        <w:t>把N2-2菌株5mm大小的菌饼接在PDA培养基中央，分别置于完全光照、完全黑暗和光暗交替（每12h交换1次）</w:t>
      </w:r>
      <w:r>
        <w:rPr>
          <w:vertAlign w:val="superscript"/>
        </w:rPr>
        <w:fldChar w:fldCharType="begin"/>
      </w:r>
      <w:r>
        <w:rPr>
          <w:vertAlign w:val="superscript"/>
        </w:rPr>
        <w:instrText xml:space="preserve"> REF _Ref18072 \r \h </w:instrText>
      </w:r>
      <w:r>
        <w:rPr>
          <w:vertAlign w:val="superscript"/>
        </w:rPr>
        <w:fldChar w:fldCharType="separate"/>
      </w:r>
      <w:r>
        <w:rPr>
          <w:vertAlign w:val="superscript"/>
        </w:rPr>
        <w:t>[10]</w:t>
      </w:r>
      <w:r>
        <w:rPr>
          <w:vertAlign w:val="superscript"/>
        </w:rPr>
        <w:fldChar w:fldCharType="end"/>
      </w:r>
      <w:r>
        <w:t>，其他条件相同，每组设置3个重复，分别放置在28℃培养箱中培养8d,第4d和第8d用十字交叉发测量其菌落直径。</w:t>
      </w:r>
    </w:p>
    <w:p w14:paraId="41AEDB6B"/>
    <w:p w14:paraId="4642D8EA">
      <w:pPr>
        <w:numPr>
          <w:ilvl w:val="0"/>
          <w:numId w:val="2"/>
        </w:numPr>
      </w:pPr>
      <w:r>
        <w:t>不同碳源对牛大力叶斑病病原菌菌落生长的影响</w:t>
      </w:r>
    </w:p>
    <w:p w14:paraId="7FDE1383">
      <w:pPr>
        <w:ind w:firstLine="420" w:firstLineChars="200"/>
      </w:pPr>
      <w:r>
        <w:t>分别称量等碳量的L-李鼠糖、D-棉籽糖、肌醇、木糖、果糖、葡萄糖、甘露醇、阿拉伯糖加入到基础碳源培养基中，以无碳的Czapek培养基作为空白对照</w:t>
      </w:r>
      <w:r>
        <w:rPr>
          <w:vertAlign w:val="superscript"/>
        </w:rPr>
        <w:fldChar w:fldCharType="begin"/>
      </w:r>
      <w:r>
        <w:rPr>
          <w:vertAlign w:val="superscript"/>
        </w:rPr>
        <w:instrText xml:space="preserve"> REF _Ref18147 \r \h </w:instrText>
      </w:r>
      <w:r>
        <w:rPr>
          <w:vertAlign w:val="superscript"/>
        </w:rPr>
        <w:fldChar w:fldCharType="separate"/>
      </w:r>
      <w:r>
        <w:rPr>
          <w:vertAlign w:val="superscript"/>
        </w:rPr>
        <w:t>[11]</w:t>
      </w:r>
      <w:r>
        <w:rPr>
          <w:vertAlign w:val="superscript"/>
        </w:rPr>
        <w:fldChar w:fldCharType="end"/>
      </w:r>
      <w:r>
        <w:t>。将5mm大小的试验菌株菌块接种到各培养基中，除碳源条件不同外，其他条件相同，每组设置3个重复，28℃培养6d,每隔2d用十字交叉法测量一次直径。</w:t>
      </w:r>
    </w:p>
    <w:p w14:paraId="472884FE">
      <w:pPr>
        <w:pStyle w:val="2"/>
        <w:bidi w:val="0"/>
        <w:rPr>
          <w:rFonts w:hint="default" w:eastAsiaTheme="minorEastAsia"/>
          <w:lang w:val="en-US" w:eastAsia="zh-CN"/>
        </w:rPr>
      </w:pPr>
      <w:r>
        <w:rPr>
          <w:rFonts w:hint="eastAsia"/>
          <w:lang w:val="en-US" w:eastAsia="zh-CN"/>
        </w:rPr>
        <w:t>4生防菌对植物病害的测定</w:t>
      </w:r>
    </w:p>
    <w:p w14:paraId="04639A14">
      <w:pPr>
        <w:rPr>
          <w:rFonts w:hint="eastAsia"/>
        </w:rPr>
      </w:pPr>
    </w:p>
    <w:p w14:paraId="532B059F">
      <w:pPr>
        <w:pStyle w:val="2"/>
        <w:bidi w:val="0"/>
      </w:pPr>
      <w:r>
        <w:rPr>
          <w:rFonts w:hint="eastAsia"/>
          <w:lang w:val="en-US" w:eastAsia="zh-CN"/>
        </w:rPr>
        <w:t>5</w:t>
      </w:r>
      <w:r>
        <w:rPr>
          <w:rFonts w:hint="eastAsia"/>
        </w:rPr>
        <w:t>研究预期成果</w:t>
      </w:r>
    </w:p>
    <w:p w14:paraId="1CFC9266">
      <w:pPr>
        <w:ind w:firstLine="420" w:firstLineChars="200"/>
        <w:rPr>
          <w:rFonts w:hint="eastAsia" w:eastAsiaTheme="minorEastAsia"/>
          <w:lang w:eastAsia="zh-CN"/>
        </w:rPr>
      </w:pPr>
      <w:r>
        <w:rPr>
          <w:rFonts w:hint="eastAsia"/>
        </w:rPr>
        <w:t>通过对广西牛大力叶斑病这一新病害病原菌N2-2进行形态学观察和分子鉴定并结合系统进化发育树结果，将该株菌株确定为塔利间座壳菌（Diaporthe tulliensis）。塔利间座壳菌归属于间座壳属，此属的病原菌还可以引起槟榔叶斑病、杧果叶斑病、蓝莓溃疡病、金刺梨叶部病害等</w:t>
      </w:r>
      <w:r>
        <w:rPr>
          <w:rFonts w:hint="eastAsia"/>
          <w:vertAlign w:val="superscript"/>
          <w:lang w:eastAsia="zh-CN"/>
        </w:rPr>
        <w:fldChar w:fldCharType="begin"/>
      </w:r>
      <w:r>
        <w:rPr>
          <w:rFonts w:hint="eastAsia"/>
          <w:vertAlign w:val="superscript"/>
          <w:lang w:eastAsia="zh-CN"/>
        </w:rPr>
        <w:instrText xml:space="preserve"> REF _Ref7645 \r \h </w:instrText>
      </w:r>
      <w:r>
        <w:rPr>
          <w:rFonts w:hint="eastAsia"/>
          <w:vertAlign w:val="superscript"/>
          <w:lang w:eastAsia="zh-CN"/>
        </w:rPr>
        <w:fldChar w:fldCharType="separate"/>
      </w:r>
      <w:r>
        <w:rPr>
          <w:rFonts w:hint="eastAsia"/>
          <w:vertAlign w:val="superscript"/>
          <w:lang w:eastAsia="zh-CN"/>
        </w:rPr>
        <w:t>[12</w:t>
      </w:r>
      <w:r>
        <w:rPr>
          <w:rFonts w:hint="default" w:asciiTheme="minorAscii" w:hAnsiTheme="minorAscii" w:eastAsiaTheme="minorEastAsia"/>
          <w:vanish/>
          <w:sz w:val="21"/>
          <w:u w:val="none"/>
          <w:vertAlign w:val="superscript"/>
          <w:lang w:eastAsia="zh-CN"/>
        </w:rPr>
        <w:t>]</w:t>
      </w:r>
      <w:r>
        <w:rPr>
          <w:rFonts w:hint="eastAsia"/>
          <w:vertAlign w:val="superscript"/>
          <w:lang w:eastAsia="zh-CN"/>
        </w:rPr>
        <w:fldChar w:fldCharType="end"/>
      </w:r>
      <w:r>
        <w:rPr>
          <w:rFonts w:hint="eastAsia"/>
          <w:vertAlign w:val="superscript"/>
          <w:lang w:val="en-US" w:eastAsia="zh-CN"/>
        </w:rPr>
        <w:t>-</w:t>
      </w:r>
      <w:r>
        <w:rPr>
          <w:rFonts w:hint="eastAsia"/>
          <w:vertAlign w:val="superscript"/>
          <w:lang w:eastAsia="zh-CN"/>
        </w:rPr>
        <w:fldChar w:fldCharType="begin"/>
      </w:r>
      <w:r>
        <w:rPr>
          <w:rFonts w:hint="eastAsia"/>
          <w:vertAlign w:val="superscript"/>
          <w:lang w:eastAsia="zh-CN"/>
        </w:rPr>
        <w:instrText xml:space="preserve"> REF _Ref7651 \r \h </w:instrText>
      </w:r>
      <w:r>
        <w:rPr>
          <w:rFonts w:hint="eastAsia"/>
          <w:vertAlign w:val="superscript"/>
          <w:lang w:eastAsia="zh-CN"/>
        </w:rPr>
        <w:fldChar w:fldCharType="separate"/>
      </w:r>
      <w:r>
        <w:rPr>
          <w:rFonts w:hint="default" w:asciiTheme="minorAscii" w:hAnsiTheme="minorAscii" w:eastAsiaTheme="minorEastAsia"/>
          <w:vanish/>
          <w:sz w:val="21"/>
          <w:vertAlign w:val="superscript"/>
          <w:lang w:eastAsia="zh-CN"/>
        </w:rPr>
        <w:t>[</w:t>
      </w:r>
      <w:r>
        <w:rPr>
          <w:rFonts w:hint="eastAsia"/>
          <w:vertAlign w:val="superscript"/>
          <w:lang w:eastAsia="zh-CN"/>
        </w:rPr>
        <w:t>15]</w:t>
      </w:r>
      <w:r>
        <w:rPr>
          <w:rFonts w:hint="eastAsia"/>
          <w:vertAlign w:val="superscript"/>
          <w:lang w:eastAsia="zh-CN"/>
        </w:rPr>
        <w:fldChar w:fldCharType="end"/>
      </w:r>
      <w:r>
        <w:rPr>
          <w:rFonts w:hint="eastAsia"/>
        </w:rPr>
        <w:t>，这表明间座壳属菌对于寄主没有特异性，可以感染不同的植物。对该株塔利间座壳菌进行生物学特性测定表明：该株塔利间座壳菌生长的适宜温度范围是24~28℃，适宜pH范围为7~10</w:t>
      </w:r>
      <w:r>
        <w:rPr>
          <w:rFonts w:hint="eastAsia"/>
          <w:lang w:eastAsia="zh-CN"/>
        </w:rPr>
        <w:t>。</w:t>
      </w:r>
      <w:r>
        <w:rPr>
          <w:rFonts w:hint="eastAsia"/>
        </w:rPr>
        <w:t>在分别以L-鼠李糖、D-棉籽糖、肌醇、木糖、葡萄糖、甘露糖或阿拉伯糖为碳源的培养基上其生长状态均良好一致，如若以果糖为碳源则其菌丝的生长受到抑制，这与2022年唐伟等人</w:t>
      </w:r>
      <w:r>
        <w:rPr>
          <w:rFonts w:hint="eastAsia"/>
          <w:vertAlign w:val="superscript"/>
          <w:lang w:eastAsia="zh-CN"/>
        </w:rPr>
        <w:fldChar w:fldCharType="begin"/>
      </w:r>
      <w:r>
        <w:rPr>
          <w:rFonts w:hint="eastAsia"/>
          <w:vertAlign w:val="superscript"/>
          <w:lang w:eastAsia="zh-CN"/>
        </w:rPr>
        <w:instrText xml:space="preserve"> REF _Ref8690 \r \h </w:instrText>
      </w:r>
      <w:r>
        <w:rPr>
          <w:rFonts w:hint="eastAsia"/>
          <w:vertAlign w:val="superscript"/>
          <w:lang w:eastAsia="zh-CN"/>
        </w:rPr>
        <w:fldChar w:fldCharType="separate"/>
      </w:r>
      <w:r>
        <w:rPr>
          <w:rFonts w:hint="eastAsia"/>
          <w:vertAlign w:val="superscript"/>
          <w:lang w:eastAsia="zh-CN"/>
        </w:rPr>
        <w:t>[16]</w:t>
      </w:r>
      <w:r>
        <w:rPr>
          <w:rFonts w:hint="eastAsia"/>
          <w:vertAlign w:val="superscript"/>
          <w:lang w:eastAsia="zh-CN"/>
        </w:rPr>
        <w:fldChar w:fldCharType="end"/>
      </w:r>
      <w:r>
        <w:rPr>
          <w:rFonts w:hint="eastAsia"/>
        </w:rPr>
        <w:t>报道的甘薯基腐病病原菌最适合碳源为糊精不一致。完全黑暗条件对该株塔利间座壳菌菌丝生长有抑制作用，与2023年刘凯</w:t>
      </w:r>
      <w:r>
        <w:rPr>
          <w:rFonts w:hint="eastAsia"/>
          <w:vertAlign w:val="superscript"/>
          <w:lang w:eastAsia="zh-CN"/>
        </w:rPr>
        <w:fldChar w:fldCharType="begin"/>
      </w:r>
      <w:r>
        <w:rPr>
          <w:rFonts w:hint="eastAsia"/>
          <w:vertAlign w:val="superscript"/>
          <w:lang w:eastAsia="zh-CN"/>
        </w:rPr>
        <w:instrText xml:space="preserve"> REF _Ref8729 \r \h </w:instrText>
      </w:r>
      <w:r>
        <w:rPr>
          <w:rFonts w:hint="eastAsia"/>
          <w:vertAlign w:val="superscript"/>
          <w:lang w:eastAsia="zh-CN"/>
        </w:rPr>
        <w:fldChar w:fldCharType="separate"/>
      </w:r>
      <w:r>
        <w:rPr>
          <w:rFonts w:hint="eastAsia"/>
          <w:vertAlign w:val="superscript"/>
          <w:lang w:eastAsia="zh-CN"/>
        </w:rPr>
        <w:t>[17]</w:t>
      </w:r>
      <w:r>
        <w:rPr>
          <w:rFonts w:hint="eastAsia"/>
          <w:vertAlign w:val="superscript"/>
          <w:lang w:eastAsia="zh-CN"/>
        </w:rPr>
        <w:fldChar w:fldCharType="end"/>
      </w:r>
      <w:r>
        <w:rPr>
          <w:rFonts w:hint="eastAsia"/>
        </w:rPr>
        <w:t>报道的苹果新栽幼树干腐病病原菌D.sojae在完全黑暗的条件下菌丝生长得最慢相同。这些间座壳属的病原菌与本实验研究的牛大力叶斑病塔利间座壳菌（Diaporthe tulliensis）的生物学特性有一定的差异，推测这些差异有可能是来自不同地理位置、不同寄主的同一属真菌同一种间或不同种间有差异导致的</w:t>
      </w:r>
      <w:r>
        <w:rPr>
          <w:rFonts w:hint="eastAsia"/>
          <w:vertAlign w:val="superscript"/>
          <w:lang w:eastAsia="zh-CN"/>
        </w:rPr>
        <w:fldChar w:fldCharType="begin"/>
      </w:r>
      <w:r>
        <w:rPr>
          <w:rFonts w:hint="eastAsia"/>
          <w:vertAlign w:val="superscript"/>
          <w:lang w:eastAsia="zh-CN"/>
        </w:rPr>
        <w:instrText xml:space="preserve"> REF _Ref8748 \r \h </w:instrText>
      </w:r>
      <w:r>
        <w:rPr>
          <w:rFonts w:hint="eastAsia"/>
          <w:vertAlign w:val="superscript"/>
          <w:lang w:eastAsia="zh-CN"/>
        </w:rPr>
        <w:fldChar w:fldCharType="separate"/>
      </w:r>
      <w:r>
        <w:rPr>
          <w:rFonts w:hint="eastAsia"/>
          <w:vertAlign w:val="superscript"/>
          <w:lang w:eastAsia="zh-CN"/>
        </w:rPr>
        <w:t>[18]</w:t>
      </w:r>
      <w:r>
        <w:rPr>
          <w:rFonts w:hint="eastAsia"/>
          <w:vertAlign w:val="superscript"/>
          <w:lang w:eastAsia="zh-CN"/>
        </w:rPr>
        <w:fldChar w:fldCharType="end"/>
      </w:r>
      <w:r>
        <w:rPr>
          <w:rFonts w:hint="eastAsia"/>
        </w:rPr>
        <w:t>。通过了解该株塔利间座壳菌的生物学特性，可以通过控制各种外界环境例如温度、光照条件等来抑制病原菌的生长，从而达到防治病害的效果</w:t>
      </w:r>
      <w:r>
        <w:rPr>
          <w:rFonts w:hint="eastAsia"/>
          <w:lang w:eastAsia="zh-CN"/>
        </w:rPr>
        <w:t>。</w:t>
      </w:r>
    </w:p>
    <w:p w14:paraId="72871E3A">
      <w:pPr>
        <w:pStyle w:val="2"/>
      </w:pPr>
      <w:r>
        <w:rPr>
          <w:rFonts w:hint="eastAsia"/>
          <w:lang w:val="en-US" w:eastAsia="zh-CN"/>
        </w:rPr>
        <w:t>6</w:t>
      </w:r>
      <w:r>
        <w:rPr>
          <w:rFonts w:hint="eastAsia"/>
        </w:rPr>
        <w:t>研究进度</w:t>
      </w:r>
      <w:bookmarkStart w:id="16" w:name="_GoBack"/>
      <w:bookmarkEnd w:id="16"/>
    </w:p>
    <w:p w14:paraId="789EE5CA">
      <w:r>
        <w:rPr>
          <w:rFonts w:hint="eastAsia"/>
        </w:rPr>
        <w:t>2024年5月8日——2024年7月31日：完成牛大力病原菌的分离和纯化</w:t>
      </w:r>
    </w:p>
    <w:p w14:paraId="3B26E525">
      <w:r>
        <w:rPr>
          <w:rFonts w:hint="eastAsia"/>
        </w:rPr>
        <w:t>2024年8月1日——2024年9月10日：完成致病性实验测定致病性</w:t>
      </w:r>
    </w:p>
    <w:p w14:paraId="11BBDA0B">
      <w:r>
        <w:rPr>
          <w:rFonts w:hint="eastAsia"/>
        </w:rPr>
        <w:t>2024年9月11日——2024年10月31日：完成显微镜观察形态学特征</w:t>
      </w:r>
    </w:p>
    <w:p w14:paraId="1F2E2EA8">
      <w:r>
        <w:rPr>
          <w:rFonts w:hint="eastAsia"/>
        </w:rPr>
        <w:t>2024年11月1日——2024年12月1日：完成病原菌分子鉴定</w:t>
      </w:r>
    </w:p>
    <w:p w14:paraId="32B76B3F">
      <w:r>
        <w:rPr>
          <w:rFonts w:hint="eastAsia"/>
        </w:rPr>
        <w:t>2024年12月2日——2025年1月5日：完成生物学特性测定</w:t>
      </w:r>
    </w:p>
    <w:p w14:paraId="7BDBEB05">
      <w:pPr>
        <w:rPr>
          <w:rFonts w:hint="eastAsia"/>
        </w:rPr>
      </w:pPr>
      <w:r>
        <w:rPr>
          <w:rFonts w:hint="eastAsia"/>
        </w:rPr>
        <w:t>2025年1月6日——2025年2月1日：完成生防菌的筛选</w:t>
      </w:r>
    </w:p>
    <w:p w14:paraId="4AE0869C">
      <w:r>
        <w:rPr>
          <w:rFonts w:hint="eastAsia"/>
        </w:rPr>
        <w:br w:type="page"/>
      </w:r>
    </w:p>
    <w:p w14:paraId="3F09E602">
      <w:pPr>
        <w:pStyle w:val="2"/>
      </w:pPr>
      <w:r>
        <w:rPr>
          <w:rFonts w:hint="eastAsia"/>
        </w:rPr>
        <w:t>参考文献</w:t>
      </w:r>
    </w:p>
    <w:p w14:paraId="770BDB8C">
      <w:pPr>
        <w:numPr>
          <w:ilvl w:val="0"/>
          <w:numId w:val="3"/>
        </w:numPr>
        <w:ind w:left="420" w:hanging="420" w:hangingChars="200"/>
        <w:rPr>
          <w:rFonts w:ascii="Times New Roman" w:hAnsi="Times New Roman"/>
          <w:szCs w:val="22"/>
        </w:rPr>
      </w:pPr>
      <w:bookmarkStart w:id="0" w:name="_Ref15045"/>
      <w:r>
        <w:rPr>
          <w:rFonts w:ascii="Times New Roman" w:hAnsi="Times New Roman"/>
          <w:szCs w:val="22"/>
        </w:rPr>
        <w:t>陈少容,黄荣韶,李良波,等.牛大力主要病虫害调查及白粉病的防治技术研究[J].湖北农业科学,2022,61(15):121-123+132.DOI:10.14088/j.cnki.issn0439-8114.2022.15.020.</w:t>
      </w:r>
      <w:bookmarkEnd w:id="0"/>
    </w:p>
    <w:p w14:paraId="4568A4F1">
      <w:pPr>
        <w:numPr>
          <w:ilvl w:val="0"/>
          <w:numId w:val="3"/>
        </w:numPr>
        <w:ind w:left="420" w:hanging="420" w:hangingChars="200"/>
        <w:rPr>
          <w:rFonts w:ascii="Times New Roman" w:hAnsi="Times New Roman"/>
          <w:szCs w:val="22"/>
        </w:rPr>
      </w:pPr>
      <w:bookmarkStart w:id="1" w:name="_Ref3857"/>
      <w:r>
        <w:rPr>
          <w:rFonts w:ascii="Times New Roman" w:hAnsi="Times New Roman"/>
          <w:szCs w:val="22"/>
        </w:rPr>
        <w:t>张强,张艳茹,霍云凤,等.禾谷镰刀菌拮抗菌21-1的发酵条件及稳定性分析[J].江苏农业科学,2023,51(20):122-127.DOI:10.15889/j.issn.1002-1302.2023.20.017.</w:t>
      </w:r>
      <w:bookmarkEnd w:id="1"/>
    </w:p>
    <w:p w14:paraId="6AB61DA2">
      <w:pPr>
        <w:numPr>
          <w:ilvl w:val="0"/>
          <w:numId w:val="3"/>
        </w:numPr>
        <w:ind w:left="420" w:hanging="420" w:hangingChars="200"/>
        <w:rPr>
          <w:rFonts w:ascii="Times New Roman" w:hAnsi="Times New Roman"/>
          <w:szCs w:val="22"/>
        </w:rPr>
      </w:pPr>
      <w:bookmarkStart w:id="2" w:name="_Ref8667"/>
      <w:r>
        <w:rPr>
          <w:rFonts w:ascii="Times New Roman" w:hAnsi="Times New Roman"/>
          <w:szCs w:val="22"/>
        </w:rPr>
        <w:t>邱泽澜,陈锦,张卓,等.湖南省多花黄精炭疽病病原鉴定及其药剂筛选[J].西南农业学报,2023,36(01):91-97.DOI:10.16213/j.cnki.scjas.2023.1.011.</w:t>
      </w:r>
      <w:bookmarkEnd w:id="2"/>
    </w:p>
    <w:p w14:paraId="278299EC">
      <w:pPr>
        <w:numPr>
          <w:ilvl w:val="0"/>
          <w:numId w:val="3"/>
        </w:numPr>
        <w:ind w:left="420" w:hanging="420" w:hangingChars="200"/>
        <w:rPr>
          <w:rFonts w:ascii="Times New Roman" w:hAnsi="Times New Roman"/>
          <w:szCs w:val="22"/>
        </w:rPr>
      </w:pPr>
      <w:bookmarkStart w:id="3" w:name="_Ref9363"/>
      <w:r>
        <w:rPr>
          <w:rFonts w:ascii="Times New Roman" w:hAnsi="Times New Roman"/>
          <w:szCs w:val="22"/>
        </w:rPr>
        <w:t>王晓宇,李增平,郑志淋,等.莲藕棒孢霉叶斑病病原鉴定及其生物学特性测定[J].热带作物学报,2019,40(04):734-740.</w:t>
      </w:r>
      <w:bookmarkEnd w:id="3"/>
    </w:p>
    <w:p w14:paraId="7B9A7542">
      <w:pPr>
        <w:numPr>
          <w:ilvl w:val="0"/>
          <w:numId w:val="3"/>
        </w:numPr>
        <w:ind w:left="420" w:hanging="420" w:hangingChars="200"/>
        <w:rPr>
          <w:rFonts w:ascii="Times New Roman" w:hAnsi="Times New Roman"/>
          <w:szCs w:val="22"/>
        </w:rPr>
      </w:pPr>
      <w:bookmarkStart w:id="4" w:name="_Ref10352"/>
      <w:r>
        <w:rPr>
          <w:rFonts w:ascii="Times New Roman" w:hAnsi="Times New Roman"/>
          <w:szCs w:val="22"/>
        </w:rPr>
        <w:t>梁松,高媛,于新,等.临沂地区草莓叶枯病病原菌的分离鉴定及其生物学特性研究[J].安徽农业科学,2024,52(05):140-143.</w:t>
      </w:r>
      <w:bookmarkEnd w:id="4"/>
    </w:p>
    <w:p w14:paraId="51BBD612">
      <w:pPr>
        <w:numPr>
          <w:ilvl w:val="0"/>
          <w:numId w:val="3"/>
        </w:numPr>
        <w:ind w:left="420" w:hanging="420" w:hangingChars="200"/>
        <w:rPr>
          <w:rFonts w:ascii="Times New Roman" w:hAnsi="Times New Roman"/>
          <w:szCs w:val="22"/>
        </w:rPr>
      </w:pPr>
      <w:bookmarkStart w:id="5" w:name="_Ref16051"/>
      <w:r>
        <w:rPr>
          <w:rFonts w:ascii="Times New Roman" w:hAnsi="Times New Roman"/>
          <w:szCs w:val="22"/>
        </w:rPr>
        <w:t>White T J, Bruns T, Lee S, et al.Amplification and direct sequencing offungal ribosomal RNA genes for phylogenetics[M]//Innis M A, Gelfand D H, Sninsky</w:t>
      </w:r>
      <w:r>
        <w:rPr>
          <w:rFonts w:hint="eastAsia" w:ascii="Times New Roman" w:hAnsi="Times New Roman"/>
          <w:szCs w:val="22"/>
        </w:rPr>
        <w:t xml:space="preserve"> </w:t>
      </w:r>
      <w:r>
        <w:rPr>
          <w:rFonts w:ascii="Times New Roman" w:hAnsi="Times New Roman"/>
          <w:szCs w:val="22"/>
        </w:rPr>
        <w:t>J J, et al (eds) .PCR protocols:A guide to methods and applications.New</w:t>
      </w:r>
      <w:r>
        <w:rPr>
          <w:rFonts w:hint="eastAsia" w:ascii="Times New Roman" w:hAnsi="Times New Roman"/>
          <w:szCs w:val="22"/>
        </w:rPr>
        <w:t xml:space="preserve"> </w:t>
      </w:r>
      <w:r>
        <w:rPr>
          <w:rFonts w:ascii="Times New Roman" w:hAnsi="Times New Roman"/>
          <w:szCs w:val="22"/>
        </w:rPr>
        <w:t>York:Academic Press, 1990:315-322.</w:t>
      </w:r>
      <w:bookmarkEnd w:id="5"/>
    </w:p>
    <w:p w14:paraId="220D407D">
      <w:pPr>
        <w:numPr>
          <w:ilvl w:val="0"/>
          <w:numId w:val="3"/>
        </w:numPr>
        <w:ind w:left="420" w:hanging="420" w:hangingChars="200"/>
        <w:rPr>
          <w:rFonts w:ascii="Times New Roman" w:hAnsi="Times New Roman"/>
          <w:szCs w:val="22"/>
        </w:rPr>
      </w:pPr>
      <w:bookmarkStart w:id="6" w:name="_Ref10643"/>
      <w:r>
        <w:rPr>
          <w:rFonts w:ascii="Times New Roman" w:hAnsi="Times New Roman"/>
          <w:szCs w:val="22"/>
        </w:rPr>
        <w:t>王飞,杨瑾,李绍建,等.牛膝茎基腐病的病原菌分离与鉴定[J].植物病理学报,2024,54(06):1268-1272.DOI:10.13926/j.cnki.apps.000920.</w:t>
      </w:r>
      <w:bookmarkEnd w:id="6"/>
    </w:p>
    <w:p w14:paraId="7FE0065F">
      <w:pPr>
        <w:numPr>
          <w:ilvl w:val="0"/>
          <w:numId w:val="3"/>
        </w:numPr>
        <w:ind w:left="420" w:hanging="420" w:hangingChars="200"/>
        <w:rPr>
          <w:rFonts w:ascii="Times New Roman" w:hAnsi="Times New Roman"/>
          <w:szCs w:val="22"/>
        </w:rPr>
      </w:pPr>
      <w:bookmarkStart w:id="7" w:name="_Ref16537"/>
      <w:r>
        <w:rPr>
          <w:rFonts w:ascii="Times New Roman" w:hAnsi="Times New Roman"/>
          <w:szCs w:val="22"/>
        </w:rPr>
        <w:t>刘思睿,赵兴丽,罗林丽,等.魔芋茎腐病病原的生物学特性及不同杀菌剂对病原菌的室内毒力[J].贵州农业科学,2024,52(02):56-63.</w:t>
      </w:r>
      <w:bookmarkEnd w:id="7"/>
    </w:p>
    <w:p w14:paraId="1C976E6B">
      <w:pPr>
        <w:numPr>
          <w:ilvl w:val="0"/>
          <w:numId w:val="3"/>
        </w:numPr>
        <w:ind w:left="420" w:hanging="420" w:hangingChars="200"/>
        <w:rPr>
          <w:rFonts w:ascii="Times New Roman" w:hAnsi="Times New Roman"/>
          <w:szCs w:val="22"/>
        </w:rPr>
      </w:pPr>
      <w:bookmarkStart w:id="8" w:name="_Ref16782"/>
      <w:r>
        <w:rPr>
          <w:rFonts w:ascii="Times New Roman" w:hAnsi="Times New Roman"/>
          <w:szCs w:val="22"/>
        </w:rPr>
        <w:t>王小秋,葛礼姣,仇亮,等.蘘荷叶枯病病原菌的分离鉴定与生物学特性[J].湖南农业大学学报(自然科学版),2023,49(06):689-693+736.DOI:10.13331/j.cnki.jhau.2023.06.009.</w:t>
      </w:r>
      <w:bookmarkEnd w:id="8"/>
    </w:p>
    <w:p w14:paraId="1953F4C9">
      <w:pPr>
        <w:numPr>
          <w:ilvl w:val="0"/>
          <w:numId w:val="3"/>
        </w:numPr>
        <w:ind w:left="420" w:hanging="420" w:hangingChars="200"/>
        <w:rPr>
          <w:rFonts w:ascii="Times New Roman" w:hAnsi="Times New Roman"/>
          <w:szCs w:val="22"/>
        </w:rPr>
      </w:pPr>
      <w:bookmarkStart w:id="9" w:name="_Ref18072"/>
      <w:r>
        <w:rPr>
          <w:rFonts w:ascii="Times New Roman" w:hAnsi="Times New Roman"/>
          <w:szCs w:val="22"/>
        </w:rPr>
        <w:t>马皓月.丹参炭疽病病原菌鉴定、生物学特性研究及室内药剂筛选[D].西南大学,2023.DOI:10.27684/d.cnki.gxndx.2023.000354.</w:t>
      </w:r>
      <w:bookmarkEnd w:id="9"/>
    </w:p>
    <w:p w14:paraId="1B9990AC">
      <w:pPr>
        <w:numPr>
          <w:ilvl w:val="0"/>
          <w:numId w:val="3"/>
        </w:numPr>
        <w:ind w:left="420" w:hanging="420" w:hangingChars="200"/>
        <w:rPr>
          <w:rFonts w:ascii="Times New Roman" w:hAnsi="Times New Roman"/>
          <w:szCs w:val="22"/>
        </w:rPr>
      </w:pPr>
      <w:bookmarkStart w:id="10" w:name="_Ref18147"/>
      <w:r>
        <w:rPr>
          <w:rFonts w:ascii="Times New Roman" w:hAnsi="Times New Roman"/>
          <w:szCs w:val="22"/>
        </w:rPr>
        <w:t>吴如慧,李增平,张宇,等.橡胶树毛色二孢叶斑病病原菌的鉴定及其生物学特性研究[J].热带作物学报,2019,40(01):107-114.</w:t>
      </w:r>
      <w:bookmarkEnd w:id="10"/>
    </w:p>
    <w:p w14:paraId="1237BEE6">
      <w:pPr>
        <w:numPr>
          <w:ilvl w:val="0"/>
          <w:numId w:val="3"/>
        </w:numPr>
        <w:ind w:left="420" w:hanging="420" w:hangingChars="200"/>
        <w:rPr>
          <w:rFonts w:ascii="Times New Roman" w:hAnsi="Times New Roman"/>
          <w:szCs w:val="22"/>
        </w:rPr>
      </w:pPr>
      <w:bookmarkStart w:id="11" w:name="_Ref7645"/>
      <w:r>
        <w:rPr>
          <w:rFonts w:hint="eastAsia" w:ascii="Times New Roman" w:hAnsi="Times New Roman"/>
          <w:szCs w:val="22"/>
          <w:lang w:val="en-US" w:eastAsia="zh-CN"/>
        </w:rPr>
        <w:t xml:space="preserve">张超,王玉梓,王照琪,等.槟榔间座壳菌叶斑病病原鉴定及生物学特性[J/OL].热带生物学报,1-11[2024-05-06]. </w:t>
      </w:r>
      <w:bookmarkEnd w:id="11"/>
    </w:p>
    <w:p w14:paraId="332861FF">
      <w:pPr>
        <w:numPr>
          <w:ilvl w:val="0"/>
          <w:numId w:val="3"/>
        </w:numPr>
        <w:ind w:left="420" w:hanging="420" w:hangingChars="200"/>
        <w:rPr>
          <w:rFonts w:ascii="Times New Roman" w:hAnsi="Times New Roman"/>
          <w:szCs w:val="22"/>
        </w:rPr>
      </w:pPr>
      <w:r>
        <w:rPr>
          <w:rFonts w:hint="eastAsia" w:ascii="Times New Roman" w:hAnsi="Times New Roman"/>
          <w:szCs w:val="22"/>
          <w:lang w:val="en-US" w:eastAsia="zh-CN"/>
        </w:rPr>
        <w:t xml:space="preserve">张玉杰,莫贱友,李其利,等.杧果间座壳叶斑病病原种类鉴定[C]//中国植物病理学会.植物病理科技创新与绿色防控——中国植物病理学会 2021 年学术年会论文集.广西农业科学院植物保护研究所;长江大学生命科学学院;,2021:1. </w:t>
      </w:r>
    </w:p>
    <w:p w14:paraId="679300F9">
      <w:pPr>
        <w:numPr>
          <w:ilvl w:val="0"/>
          <w:numId w:val="3"/>
        </w:numPr>
        <w:ind w:left="420" w:hanging="420" w:hangingChars="200"/>
        <w:rPr>
          <w:rFonts w:ascii="Times New Roman" w:hAnsi="Times New Roman"/>
          <w:szCs w:val="22"/>
        </w:rPr>
      </w:pPr>
      <w:r>
        <w:rPr>
          <w:rFonts w:hint="eastAsia" w:ascii="Times New Roman" w:hAnsi="Times New Roman"/>
          <w:szCs w:val="22"/>
          <w:lang w:val="en-US" w:eastAsia="zh-CN"/>
        </w:rPr>
        <w:t xml:space="preserve">李媛,石凌波,费诺亚,等.蓝莓间座壳茎溃疡病病原鉴定及生物学特性研究[J].植物保护,2017,43(01):89-94. </w:t>
      </w:r>
    </w:p>
    <w:p w14:paraId="7E3EEF5C">
      <w:pPr>
        <w:numPr>
          <w:ilvl w:val="0"/>
          <w:numId w:val="3"/>
        </w:numPr>
        <w:ind w:left="420" w:hanging="420" w:hangingChars="200"/>
        <w:rPr>
          <w:rFonts w:ascii="Times New Roman" w:hAnsi="Times New Roman"/>
          <w:szCs w:val="22"/>
        </w:rPr>
      </w:pPr>
      <w:bookmarkStart w:id="12" w:name="_Ref7651"/>
      <w:r>
        <w:rPr>
          <w:rFonts w:hint="eastAsia" w:ascii="Times New Roman" w:hAnsi="Times New Roman"/>
          <w:szCs w:val="22"/>
          <w:lang w:val="en-US" w:eastAsia="zh-CN"/>
        </w:rPr>
        <w:t>张兴跃,刘天雷,从春蕾,等.金刺梨叶部病害发生规律调查及病原鉴定[J].安徽农业科学,2024,52(05):147-151.</w:t>
      </w:r>
      <w:bookmarkEnd w:id="12"/>
    </w:p>
    <w:p w14:paraId="57E53EBA">
      <w:pPr>
        <w:numPr>
          <w:ilvl w:val="0"/>
          <w:numId w:val="3"/>
        </w:numPr>
        <w:ind w:left="420" w:hanging="420" w:hangingChars="200"/>
        <w:rPr>
          <w:rFonts w:hint="eastAsia" w:ascii="Times New Roman" w:hAnsi="Times New Roman"/>
          <w:szCs w:val="22"/>
          <w:lang w:val="en-US" w:eastAsia="zh-CN"/>
        </w:rPr>
      </w:pPr>
      <w:bookmarkStart w:id="13" w:name="_Ref8690"/>
      <w:r>
        <w:rPr>
          <w:rFonts w:hint="eastAsia" w:ascii="Times New Roman" w:hAnsi="Times New Roman"/>
          <w:szCs w:val="22"/>
          <w:lang w:val="en-US" w:eastAsia="zh-CN"/>
        </w:rPr>
        <w:t xml:space="preserve">唐伟,张成玲,王芳,等.甘薯基腐病病原鉴定及生长特性测定[J].南方农业学报,2022,53(07):1917-1924. </w:t>
      </w:r>
      <w:bookmarkEnd w:id="13"/>
    </w:p>
    <w:p w14:paraId="69317D0B">
      <w:pPr>
        <w:numPr>
          <w:ilvl w:val="0"/>
          <w:numId w:val="3"/>
        </w:numPr>
        <w:ind w:left="420" w:hanging="420" w:hangingChars="200"/>
        <w:rPr>
          <w:rFonts w:hint="eastAsia" w:ascii="Times New Roman" w:hAnsi="Times New Roman"/>
          <w:szCs w:val="22"/>
          <w:lang w:val="en-US" w:eastAsia="zh-CN"/>
        </w:rPr>
      </w:pPr>
      <w:bookmarkStart w:id="14" w:name="_Ref8729"/>
      <w:r>
        <w:rPr>
          <w:rFonts w:hint="eastAsia" w:ascii="Times New Roman" w:hAnsi="Times New Roman"/>
          <w:szCs w:val="22"/>
          <w:lang w:val="en-US" w:eastAsia="zh-CN"/>
        </w:rPr>
        <w:t xml:space="preserve">刘凯.苹果新栽幼树干腐病病原鉴定与防治技术研究[D].西北农林科技大学,2023. </w:t>
      </w:r>
      <w:bookmarkEnd w:id="14"/>
    </w:p>
    <w:p w14:paraId="18AC6D8F">
      <w:pPr>
        <w:numPr>
          <w:ilvl w:val="0"/>
          <w:numId w:val="3"/>
        </w:numPr>
        <w:ind w:left="420" w:hanging="420" w:hangingChars="200"/>
        <w:rPr>
          <w:rFonts w:hint="eastAsia" w:ascii="Times New Roman" w:hAnsi="Times New Roman"/>
          <w:szCs w:val="22"/>
          <w:lang w:val="en-US" w:eastAsia="zh-CN"/>
        </w:rPr>
      </w:pPr>
      <w:bookmarkStart w:id="15" w:name="_Ref8748"/>
      <w:r>
        <w:rPr>
          <w:rFonts w:hint="eastAsia" w:ascii="Times New Roman" w:hAnsi="Times New Roman"/>
          <w:szCs w:val="22"/>
          <w:lang w:val="en-US" w:eastAsia="zh-CN"/>
        </w:rPr>
        <w:t>谢玲,黄思良,岑贞陆,等.芒果褐色蒂腐病菌(Phomopsis mangiferae)生物学特性研究[J].微生物学杂志,2002,(01):15-17.</w:t>
      </w:r>
      <w:bookmarkEnd w:id="15"/>
    </w:p>
    <w:p w14:paraId="2F6E2921">
      <w:pPr>
        <w:numPr>
          <w:numId w:val="0"/>
        </w:numPr>
        <w:ind w:leftChars="-200"/>
        <w:rPr>
          <w:rFonts w:ascii="Times New Roman" w:hAnsi="Times New Roman"/>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2A685"/>
    <w:multiLevelType w:val="singleLevel"/>
    <w:tmpl w:val="8F62A685"/>
    <w:lvl w:ilvl="0" w:tentative="0">
      <w:start w:val="1"/>
      <w:numFmt w:val="decimal"/>
      <w:suff w:val="nothing"/>
      <w:lvlText w:val="（%1）"/>
      <w:lvlJc w:val="left"/>
    </w:lvl>
  </w:abstractNum>
  <w:abstractNum w:abstractNumId="1">
    <w:nsid w:val="D8E92F61"/>
    <w:multiLevelType w:val="singleLevel"/>
    <w:tmpl w:val="D8E92F61"/>
    <w:lvl w:ilvl="0" w:tentative="0">
      <w:start w:val="1"/>
      <w:numFmt w:val="decimal"/>
      <w:suff w:val="nothing"/>
      <w:lvlText w:val="（%1）"/>
      <w:lvlJc w:val="left"/>
    </w:lvl>
  </w:abstractNum>
  <w:abstractNum w:abstractNumId="2">
    <w:nsid w:val="D9D07824"/>
    <w:multiLevelType w:val="singleLevel"/>
    <w:tmpl w:val="D9D07824"/>
    <w:lvl w:ilvl="0" w:tentative="0">
      <w:start w:val="1"/>
      <w:numFmt w:val="decimal"/>
      <w:lvlText w:val="[%1]"/>
      <w:lvlJc w:val="left"/>
      <w:pPr>
        <w:tabs>
          <w:tab w:val="left" w:pos="420"/>
        </w:tabs>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YjQ1Y2U2YTUxYmNiNjEzNTYzZDdmYWJkMGUxZDYifQ=="/>
    <w:docVar w:name="KSO_WPS_MARK_KEY" w:val="d3c18f68-d591-4816-a517-bcfea88af930"/>
  </w:docVars>
  <w:rsids>
    <w:rsidRoot w:val="00732195"/>
    <w:rsid w:val="00135BFE"/>
    <w:rsid w:val="00434CA0"/>
    <w:rsid w:val="006A2943"/>
    <w:rsid w:val="00732195"/>
    <w:rsid w:val="007E4BBA"/>
    <w:rsid w:val="009259FE"/>
    <w:rsid w:val="00B75FE6"/>
    <w:rsid w:val="00C60361"/>
    <w:rsid w:val="00F54521"/>
    <w:rsid w:val="0CEF5310"/>
    <w:rsid w:val="15276044"/>
    <w:rsid w:val="17FD64F8"/>
    <w:rsid w:val="1C30733C"/>
    <w:rsid w:val="22F05E42"/>
    <w:rsid w:val="587A37B8"/>
    <w:rsid w:val="715827C2"/>
    <w:rsid w:val="7C85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2"/>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534</Words>
  <Characters>658</Characters>
  <Lines>37</Lines>
  <Paragraphs>10</Paragraphs>
  <TotalTime>67</TotalTime>
  <ScaleCrop>false</ScaleCrop>
  <LinksUpToDate>false</LinksUpToDate>
  <CharactersWithSpaces>664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2025-01-24T06:21:00Z</dcterms:created>
  <dc:creator>勺子</dc:creator>
  <cp:lastModifiedBy>言无声，泪如雨</cp:lastModifiedBy>
  <dcterms:modified xsi:type="dcterms:W3CDTF">2025-01-26T06:42:27Z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34D60C28C9E04964914B10CFB5E05EFE_13</vt:lpwstr>
  </property>
  <property fmtid="{D5CDD505-2E9C-101B-9397-08002B2CF9AE}" pid="4" name="KSOTemplateDocerSaveRecord">
    <vt:lpwstr>eyJoZGlkIjoiMGVmYzRhY2I2NTNjNjEyNWFiNzJkNjgyNDU3ZDAyYjYiLCJ1c2VySWQiOiI4NDAxOTM5NDIifQ==</vt:lpwstr>
  </property>
</Properties>
</file>