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7C401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Sample SOC Analyst Executive Report: Phishing Domain Investigation</w:t>
      </w:r>
    </w:p>
    <w:p w14:paraId="606E345E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</w:p>
    <w:p w14:paraId="59E4E9EC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bookmarkStart w:id="0" w:name="_GoBack"/>
      <w:r>
        <w:rPr>
          <w:rStyle w:val="10"/>
          <w:rFonts w:hint="default" w:ascii="Calibri" w:hAnsi="Calibri" w:cs="Calibri"/>
          <w:sz w:val="24"/>
          <w:szCs w:val="24"/>
        </w:rPr>
        <w:t>Analyst:</w:t>
      </w:r>
      <w:r>
        <w:rPr>
          <w:rFonts w:hint="default" w:ascii="Calibri" w:hAnsi="Calibri" w:cs="Calibri"/>
          <w:sz w:val="24"/>
          <w:szCs w:val="24"/>
        </w:rPr>
        <w:t xml:space="preserve"> Roland A. Apambilla</w:t>
      </w:r>
      <w:r>
        <w:rPr>
          <w:rFonts w:hint="default" w:ascii="Calibri" w:hAnsi="Calibri" w:cs="Calibri"/>
          <w:sz w:val="24"/>
          <w:szCs w:val="24"/>
          <w:lang w:val="en-US"/>
        </w:rPr>
        <w:t>, PhD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cs="Calibri"/>
          <w:sz w:val="24"/>
          <w:szCs w:val="24"/>
        </w:rPr>
        <w:t>Date:</w:t>
      </w:r>
      <w:r>
        <w:rPr>
          <w:rFonts w:hint="default" w:ascii="Calibri" w:hAnsi="Calibri" w:cs="Calibri"/>
          <w:sz w:val="24"/>
          <w:szCs w:val="24"/>
        </w:rPr>
        <w:t xml:space="preserve"> May 2026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cs="Calibri"/>
          <w:sz w:val="24"/>
          <w:szCs w:val="24"/>
        </w:rPr>
        <w:t>Environment:</w:t>
      </w:r>
      <w:r>
        <w:rPr>
          <w:rFonts w:hint="default" w:ascii="Calibri" w:hAnsi="Calibri" w:cs="Calibri"/>
          <w:sz w:val="24"/>
          <w:szCs w:val="24"/>
        </w:rPr>
        <w:t xml:space="preserve"> Ubuntu 24.04 Virtual Machine (VirtualBox)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cs="Calibri"/>
          <w:sz w:val="24"/>
          <w:szCs w:val="24"/>
        </w:rPr>
        <w:t>Tools Used:</w:t>
      </w:r>
      <w:r>
        <w:rPr>
          <w:rFonts w:hint="default" w:ascii="Calibri" w:hAnsi="Calibri" w:cs="Calibri"/>
          <w:sz w:val="24"/>
          <w:szCs w:val="24"/>
        </w:rPr>
        <w:t xml:space="preserve"> WHOIS, DIG, CURL, Linux Terminal</w:t>
      </w:r>
    </w:p>
    <w:bookmarkEnd w:id="0"/>
    <w:p w14:paraId="3AC3E327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Overview</w:t>
      </w:r>
    </w:p>
    <w:p w14:paraId="468E0163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project documents an Open-Source Intelligence (OSINT) investigation of a suspicious domain impersonating Booking.com. The investigation was conducted in a controlled cybersecurity laboratory environment using passive reconnaissance techniques to identify indicators associated with phishing infrastructure.</w:t>
      </w:r>
    </w:p>
    <w:p w14:paraId="7E3B70BE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Objective</w:t>
      </w:r>
    </w:p>
    <w:p w14:paraId="60292074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goal was to analyze the domain's DNS records, hosting infrastructure, and web server characteristics to determine whether it exhibited traits commonly associated with phishing campaigns.</w:t>
      </w:r>
    </w:p>
    <w:p w14:paraId="4F7A27A4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Domain Investigated</w:t>
      </w:r>
    </w:p>
    <w:p w14:paraId="010D3A84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booking.com-approve-reservation.com</w:t>
      </w:r>
    </w:p>
    <w:p w14:paraId="533C9035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Methodology</w:t>
      </w:r>
    </w:p>
    <w:p w14:paraId="23243FA1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investigation employed passive OSINT techniques, including:</w:t>
      </w:r>
    </w:p>
    <w:p w14:paraId="59CEA411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WHOIS analysis</w:t>
      </w:r>
    </w:p>
    <w:p w14:paraId="1E762BCE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DNS enumeration</w:t>
      </w:r>
    </w:p>
    <w:p w14:paraId="35C1E92A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Nameserver analysis</w:t>
      </w:r>
    </w:p>
    <w:p w14:paraId="38E1781A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MX record inspection</w:t>
      </w:r>
    </w:p>
    <w:p w14:paraId="64456B0A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HTTP header analysis</w:t>
      </w:r>
    </w:p>
    <w:p w14:paraId="1E8B216C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Infrastructure profiling</w:t>
      </w:r>
    </w:p>
    <w:p w14:paraId="6B8A8109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Tools Used</w:t>
      </w:r>
    </w:p>
    <w:p w14:paraId="3A398BF5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WHOIS</w:t>
      </w:r>
    </w:p>
    <w:p w14:paraId="7116F02D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DIG</w:t>
      </w:r>
    </w:p>
    <w:p w14:paraId="5E23E949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CURL</w:t>
      </w:r>
    </w:p>
    <w:p w14:paraId="37076A22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Ubuntu Linux</w:t>
      </w:r>
    </w:p>
    <w:p w14:paraId="5A147B6B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VirtualBox</w:t>
      </w:r>
    </w:p>
    <w:p w14:paraId="71303F58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Key Findings</w:t>
      </w:r>
    </w:p>
    <w:p w14:paraId="65095B8D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Brand Impersonation</w:t>
      </w:r>
    </w:p>
    <w:p w14:paraId="11928902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domain name closely mimics legitimate Booking.com reservation processes through the use of terms such as: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Style w:val="7"/>
          <w:rFonts w:hint="default" w:ascii="Calibri" w:hAnsi="Calibri" w:cs="Calibri"/>
          <w:sz w:val="24"/>
          <w:szCs w:val="24"/>
        </w:rPr>
        <w:t>Booking</w:t>
      </w:r>
      <w:r>
        <w:rPr>
          <w:rStyle w:val="7"/>
          <w:rFonts w:hint="default" w:ascii="Calibri" w:hAnsi="Calibri" w:cs="Calibri"/>
          <w:sz w:val="24"/>
          <w:szCs w:val="24"/>
          <w:lang w:val="en-US"/>
        </w:rPr>
        <w:t xml:space="preserve">- </w:t>
      </w:r>
      <w:r>
        <w:rPr>
          <w:rStyle w:val="7"/>
          <w:rFonts w:hint="default" w:ascii="Calibri" w:hAnsi="Calibri" w:cs="Calibri"/>
          <w:sz w:val="24"/>
          <w:szCs w:val="24"/>
        </w:rPr>
        <w:t>approve</w:t>
      </w:r>
      <w:r>
        <w:rPr>
          <w:rStyle w:val="7"/>
          <w:rFonts w:hint="default" w:ascii="Calibri" w:hAnsi="Calibri" w:cs="Calibri"/>
          <w:sz w:val="24"/>
          <w:szCs w:val="24"/>
          <w:lang w:val="en-US"/>
        </w:rPr>
        <w:t xml:space="preserve">- </w:t>
      </w:r>
      <w:r>
        <w:rPr>
          <w:rStyle w:val="7"/>
          <w:rFonts w:hint="default" w:ascii="Calibri" w:hAnsi="Calibri" w:cs="Calibri"/>
          <w:sz w:val="24"/>
          <w:szCs w:val="24"/>
        </w:rPr>
        <w:t>reservation</w:t>
      </w:r>
      <w:r>
        <w:rPr>
          <w:rStyle w:val="7"/>
          <w:rFonts w:hint="default" w:ascii="Calibri" w:hAnsi="Calibri" w:cs="Calibri"/>
          <w:sz w:val="24"/>
          <w:szCs w:val="24"/>
          <w:lang w:val="en-US"/>
        </w:rPr>
        <w:t xml:space="preserve">. </w:t>
      </w:r>
      <w:r>
        <w:rPr>
          <w:rFonts w:hint="default" w:ascii="Calibri" w:hAnsi="Calibri" w:cs="Calibri"/>
          <w:sz w:val="24"/>
          <w:szCs w:val="24"/>
        </w:rPr>
        <w:t>This naming pattern is commonly observed in phishing campaigns designed to deceive users.</w:t>
      </w:r>
    </w:p>
    <w:p w14:paraId="53B12855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DNS Infrastructure</w:t>
      </w:r>
    </w:p>
    <w:p w14:paraId="4BDEB65A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domain resolved to:</w:t>
      </w:r>
    </w:p>
    <w:p w14:paraId="6B0BF5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104.21.62.80</w:t>
      </w:r>
    </w:p>
    <w:p w14:paraId="4C2331F1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172.67.221.208</w:t>
      </w:r>
    </w:p>
    <w:p w14:paraId="6ED53423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infrastructure was protected by Cloudflare, masking the origin server and complicating attribution efforts.</w:t>
      </w:r>
    </w:p>
    <w:p w14:paraId="2AEF0CAF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Email Infrastructure</w:t>
      </w:r>
    </w:p>
    <w:p w14:paraId="259AEC26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 MX records were identified for the domain, suggesting it was not configured for legitimate business email communication.</w:t>
      </w:r>
    </w:p>
    <w:p w14:paraId="60018F00">
      <w:pPr>
        <w:pStyle w:val="4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Web Server Analysis</w:t>
      </w:r>
    </w:p>
    <w:p w14:paraId="49B1F5E6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HTTP inspection returned:</w:t>
      </w:r>
    </w:p>
    <w:p w14:paraId="5B8B4B20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HTTP/2 403 Forbidden</w:t>
      </w:r>
    </w:p>
    <w:p w14:paraId="3C17C8F9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Headers indicated active Cloudflare protection and challenge mechanisms.</w:t>
      </w:r>
    </w:p>
    <w:p w14:paraId="4D321017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Indicators of Compromise (IOCs)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0"/>
        <w:gridCol w:w="3925"/>
      </w:tblGrid>
      <w:tr w14:paraId="2E64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835" w:type="dxa"/>
            <w:shd w:val="clear"/>
            <w:vAlign w:val="center"/>
          </w:tcPr>
          <w:p w14:paraId="2DF197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880" w:type="dxa"/>
            <w:shd w:val="clear"/>
            <w:vAlign w:val="center"/>
          </w:tcPr>
          <w:p w14:paraId="6CDB52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0EA1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35" w:type="dxa"/>
            <w:shd w:val="clear"/>
            <w:vAlign w:val="center"/>
          </w:tcPr>
          <w:p w14:paraId="6593AF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Domain</w:t>
            </w:r>
          </w:p>
        </w:tc>
        <w:tc>
          <w:tcPr>
            <w:tcW w:w="3880" w:type="dxa"/>
            <w:shd w:val="clear"/>
            <w:vAlign w:val="center"/>
          </w:tcPr>
          <w:p w14:paraId="7C93C4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booking.com-approve-reservation.com</w:t>
            </w:r>
          </w:p>
        </w:tc>
      </w:tr>
      <w:tr w14:paraId="6640A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35" w:type="dxa"/>
            <w:shd w:val="clear"/>
            <w:vAlign w:val="center"/>
          </w:tcPr>
          <w:p w14:paraId="61EB76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3880" w:type="dxa"/>
            <w:shd w:val="clear"/>
            <w:vAlign w:val="center"/>
          </w:tcPr>
          <w:p w14:paraId="024E04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104.21.62.80</w:t>
            </w:r>
          </w:p>
        </w:tc>
      </w:tr>
      <w:tr w14:paraId="62D3C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35" w:type="dxa"/>
            <w:shd w:val="clear"/>
            <w:vAlign w:val="center"/>
          </w:tcPr>
          <w:p w14:paraId="7C3B43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3880" w:type="dxa"/>
            <w:shd w:val="clear"/>
            <w:vAlign w:val="center"/>
          </w:tcPr>
          <w:p w14:paraId="73AD5C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172.67.221.208</w:t>
            </w:r>
          </w:p>
        </w:tc>
      </w:tr>
      <w:tr w14:paraId="02C79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35" w:type="dxa"/>
            <w:shd w:val="clear"/>
            <w:vAlign w:val="center"/>
          </w:tcPr>
          <w:p w14:paraId="7E07C2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Infrastructure</w:t>
            </w:r>
          </w:p>
        </w:tc>
        <w:tc>
          <w:tcPr>
            <w:tcW w:w="3880" w:type="dxa"/>
            <w:shd w:val="clear"/>
            <w:vAlign w:val="center"/>
          </w:tcPr>
          <w:p w14:paraId="053624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Cloudflare</w:t>
            </w:r>
          </w:p>
        </w:tc>
      </w:tr>
      <w:tr w14:paraId="51DA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35" w:type="dxa"/>
            <w:shd w:val="clear"/>
            <w:vAlign w:val="center"/>
          </w:tcPr>
          <w:p w14:paraId="642E40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Threat Category</w:t>
            </w:r>
          </w:p>
        </w:tc>
        <w:tc>
          <w:tcPr>
            <w:tcW w:w="3880" w:type="dxa"/>
            <w:shd w:val="clear"/>
            <w:vAlign w:val="center"/>
          </w:tcPr>
          <w:p w14:paraId="3B12BE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Brand Impersonation Phishing</w:t>
            </w:r>
          </w:p>
        </w:tc>
      </w:tr>
    </w:tbl>
    <w:p w14:paraId="6C44CB0A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Threat Assessment</w:t>
      </w:r>
    </w:p>
    <w:p w14:paraId="5C534C8D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Based on the observed indicators, the domain demonstrates several characteristics frequently associated with phishing infrastructure:</w:t>
      </w:r>
    </w:p>
    <w:p w14:paraId="4E872EAF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Brand impersonation</w:t>
      </w:r>
    </w:p>
    <w:p w14:paraId="226B7678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Infrastructure obfuscation</w:t>
      </w:r>
    </w:p>
    <w:p w14:paraId="4825C89C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Lack of legitimate email services</w:t>
      </w:r>
    </w:p>
    <w:p w14:paraId="25E18C5D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Restricted web access through protective services</w:t>
      </w:r>
    </w:p>
    <w:p w14:paraId="7BABD3E0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While passive OSINT alone cannot conclusively prove malicious intent, the findings warrant treating the domain as potentially malicious until further verification is available.</w:t>
      </w:r>
    </w:p>
    <w:p w14:paraId="4837E49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Key Management Recommendations</w:t>
      </w:r>
    </w:p>
    <w:p w14:paraId="34714B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sz w:val="24"/>
          <w:szCs w:val="24"/>
        </w:rPr>
        <w:t>Block identified phishing indicators</w:t>
      </w:r>
      <w:r>
        <w:rPr>
          <w:rFonts w:hint="default" w:ascii="Calibri" w:hAnsi="Calibri" w:cs="Calibri"/>
          <w:sz w:val="24"/>
          <w:szCs w:val="24"/>
        </w:rPr>
        <w:t xml:space="preserve"> across DNS filtering, firewalls, and web security gateways. </w:t>
      </w:r>
    </w:p>
    <w:p w14:paraId="3D464F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sz w:val="24"/>
          <w:szCs w:val="24"/>
        </w:rPr>
        <w:t>Strengthen phishing awareness training</w:t>
      </w:r>
      <w:r>
        <w:rPr>
          <w:rFonts w:hint="default" w:ascii="Calibri" w:hAnsi="Calibri" w:cs="Calibri"/>
          <w:sz w:val="24"/>
          <w:szCs w:val="24"/>
        </w:rPr>
        <w:t xml:space="preserve"> to improve employee recognition of brand-impersonation attacks. </w:t>
      </w:r>
    </w:p>
    <w:p w14:paraId="4F57F2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sz w:val="24"/>
          <w:szCs w:val="24"/>
        </w:rPr>
        <w:t>Enhance threat monitoring and detection</w:t>
      </w:r>
      <w:r>
        <w:rPr>
          <w:rFonts w:hint="default" w:ascii="Calibri" w:hAnsi="Calibri" w:cs="Calibri"/>
          <w:sz w:val="24"/>
          <w:szCs w:val="24"/>
        </w:rPr>
        <w:t xml:space="preserve"> through SIEM alerts and IOC tracking. </w:t>
      </w:r>
    </w:p>
    <w:p w14:paraId="04E9B8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sz w:val="24"/>
          <w:szCs w:val="24"/>
        </w:rPr>
        <w:t>Improve email and web security controls</w:t>
      </w:r>
      <w:r>
        <w:rPr>
          <w:rFonts w:hint="default" w:ascii="Calibri" w:hAnsi="Calibri" w:cs="Calibri"/>
          <w:sz w:val="24"/>
          <w:szCs w:val="24"/>
        </w:rPr>
        <w:t xml:space="preserve"> using SPF, DKIM, DMARC, URL filtering, and DNS reputation services.</w:t>
      </w:r>
    </w:p>
    <w:p w14:paraId="58D49570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</w:p>
    <w:p w14:paraId="4B6D189E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Skills Demonstrated</w:t>
      </w:r>
    </w:p>
    <w:p w14:paraId="1A59F50F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Threat Intelligence</w:t>
      </w:r>
    </w:p>
    <w:p w14:paraId="7FCFE35C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OSINT Investigation</w:t>
      </w:r>
    </w:p>
    <w:p w14:paraId="1BE298C5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DNS Analysis</w:t>
      </w:r>
    </w:p>
    <w:p w14:paraId="6D1FACC0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Cyber Threat Hunting</w:t>
      </w:r>
    </w:p>
    <w:p w14:paraId="7E92BD05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IOC Identification</w:t>
      </w:r>
    </w:p>
    <w:p w14:paraId="566CF921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Linux Command Line</w:t>
      </w:r>
    </w:p>
    <w:p w14:paraId="0843530A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Security Reporting</w:t>
      </w:r>
    </w:p>
    <w:p w14:paraId="689B1B16">
      <w:pPr>
        <w:pStyle w:val="9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MITRE ATT&amp;CK Mapping</w:t>
      </w:r>
    </w:p>
    <w:p w14:paraId="703E7129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Key Lessons Learned</w:t>
      </w:r>
    </w:p>
    <w:p w14:paraId="5F48D77C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investigation highlights the importance of combining technical indicators with contextual analysis when assessing suspicious domains. Passive reconnaissance can reveal valuable threat intelligence while maintaining a safe and ethical investigation approach.</w:t>
      </w:r>
    </w:p>
    <w:p w14:paraId="4C625C1E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Disclaimer</w:t>
      </w:r>
    </w:p>
    <w:p w14:paraId="07B433FD">
      <w:pPr>
        <w:pStyle w:val="9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investigation was conducted solely for educational, research, and cybersecurity awareness purposes. No attempts were made to access, exploit, or interact with the target infrastructure beyond passive information gathering techniques.</w:t>
      </w:r>
    </w:p>
    <w:p w14:paraId="0673CFAB">
      <w:pPr>
        <w:jc w:val="both"/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412AE"/>
    <w:rsid w:val="075412AE"/>
    <w:rsid w:val="6C0D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2026-05-30T19:39:00Z</dcterms:created>
  <dc:creator>Miracle Ndego</dc:creator>
  <cp:lastModifiedBy>Miracle Ndego</cp:lastModifiedBy>
  <dcterms:modified xsi:type="dcterms:W3CDTF">2026-05-30T20:16:03Z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F536575713ED4349946D6235950D51C7_11</vt:lpwstr>
  </property>
  <property fmtid="{D5CDD505-2E9C-101B-9397-08002B2CF9AE}" pid="4" name="KSOTemplateDocerSaveRecord">
    <vt:lpwstr>eyJoZGlkIjoiOGI4NjI5OTBmMDM1ODFlMDkzNDFlZTFiMWNhZWU5ZTMiLCJ1c2VySWQiOiIxNjA5ODIxNDgwOTcwNiJ9</vt:lpwstr>
  </property>
</Properties>
</file>