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12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52"/>
          <w:szCs w:val="52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spacing w:line="312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480" w:before="360" w:line="31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Увод в програмирането (практикум)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2021-2022 г.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за курсов проект № 9 - ASCII 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 се напише програма, която реализира четирицифрен таймер, размерът на цифрите на който е 11х10 символа (ASCII art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стартиране на програмата да се въвежда от потребителя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число (брой секунди)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след което таймерът започва да отброява оставащото време във формат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&lt;ЧАСОВЕ: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МИНУТИ:СЕКУНДИ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&gt;.</w:t>
      </w:r>
    </w:p>
    <w:p w:rsidR="00000000" w:rsidDel="00000000" w:rsidP="00000000" w:rsidRDefault="00000000" w:rsidRPr="00000000" w14:paraId="00000007">
      <w:pPr>
        <w:spacing w:after="180" w:before="1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Звукови сигнали/команди: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80" w:before="180"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нулиране на таймера да се възпроизвежда звуков сигнал.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0" w:before="1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Визуализация: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180" w:before="180" w:line="312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Таймерът да се визуализира центриран спрямо прозорец на конзолата с размери 80х25 символа.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80" w:line="312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Всяка цифра да се изобразява с помощта на съответния ASCII символ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виж примера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0" w:beforeAutospacing="0" w:line="312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Всяка цифра да се изобразява с различен цвят, който да се избира по случаен принцип.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80" w:before="180" w:line="312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оставащи по-малко от 15 минути да се оцветяват всички цифри в жълто.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80" w:before="180" w:line="312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оставащо време по-малко от 1 минути да се оцветяват всички цифри в червено.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180" w:before="180" w:line="312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оставащо време по-малко от 10 секунди, всички цифри да примигват.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="31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="312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Пример: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="31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изуализацията на таймера може да изглежда така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="312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hh/mm/ss - hours : minutes : seconds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="312" w:lineRule="auto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</w:rPr>
        <w:drawing>
          <wp:inline distB="114300" distT="114300" distL="114300" distR="114300">
            <wp:extent cx="5400675" cy="18954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="312" w:lineRule="auto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="31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80" w:before="180" w:line="312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mm/ss - minutes : seconds</w:t>
      </w:r>
    </w:p>
    <w:p w:rsidR="00000000" w:rsidDel="00000000" w:rsidP="00000000" w:rsidRDefault="00000000" w:rsidRPr="00000000" w14:paraId="00000018">
      <w:pPr>
        <w:spacing w:after="180" w:before="180" w:line="312" w:lineRule="auto"/>
        <w:ind w:left="720" w:firstLine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before="180" w:line="312" w:lineRule="auto"/>
        <w:ind w:left="720" w:firstLine="0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</w:rPr>
        <w:drawing>
          <wp:inline distB="114300" distT="114300" distL="114300" distR="114300">
            <wp:extent cx="3981450" cy="19240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0" w:before="180" w:line="312" w:lineRule="auto"/>
        <w:ind w:left="720" w:firstLine="0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before="180" w:line="312" w:lineRule="auto"/>
        <w:ind w:left="720" w:firstLine="0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80" w:before="180" w:line="312" w:lineRule="auto"/>
        <w:ind w:left="720" w:firstLine="0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before="180" w:line="312" w:lineRule="auto"/>
        <w:ind w:left="0" w:firstLine="0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80" w:before="180" w:line="312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only seconds</w:t>
      </w:r>
    </w:p>
    <w:p w:rsidR="00000000" w:rsidDel="00000000" w:rsidP="00000000" w:rsidRDefault="00000000" w:rsidRPr="00000000" w14:paraId="0000001F">
      <w:pPr>
        <w:spacing w:after="180" w:before="180" w:line="312" w:lineRule="auto"/>
        <w:ind w:left="720" w:firstLine="0"/>
        <w:jc w:val="center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</w:rPr>
        <w:drawing>
          <wp:inline distB="114300" distT="114300" distL="114300" distR="114300">
            <wp:extent cx="1819275" cy="19050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Arial"/>
  <w:font w:name="Verdan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Повече за т.нар. ASCII art, може да прочетете тук: </w:t>
      </w:r>
      <w:hyperlink r:id="rId1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u w:val="single"/>
            <w:shd w:fill="auto" w:val="clear"/>
            <w:vertAlign w:val="baseline"/>
            <w:rtl w:val="0"/>
          </w:rPr>
          <w:t xml:space="preserve">https://www.asciiart.eu/faq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b6fa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asciiart.eu/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