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0"/>
        <w:jc w:val="center"/>
      </w:pPr>
      <w:r>
        <w:rPr>
          <w:rFonts w:ascii="Calibri" w:hAnsi="Calibri" w:eastAsia="Calibri" w:cs="Calibri"/>
          <w:b/>
          <w:color w:val="1F4E79"/>
          <w:sz w:val="36"/>
        </w:rPr>
        <w:t>SkyLink · Retrospectiva Sprint 2 · Comisión 7</w:t>
      </w:r>
    </w:p>
    <w:p>
      <w:pPr>
        <w:spacing w:after="40"/>
        <w:jc w:val="center"/>
      </w:pPr>
      <w:r>
        <w:rPr>
          <w:rFonts w:ascii="Calibri" w:hAnsi="Calibri" w:eastAsia="Calibri" w:cs="Calibri"/>
          <w:b/>
          <w:color w:val="1F4E79"/>
          <w:sz w:val="36"/>
        </w:rPr>
        <w:t>Informe de retrospectiva</w:t>
      </w:r>
    </w:p>
    <w:p>
      <w:pPr>
        <w:spacing w:after="0"/>
        <w:jc w:val="center"/>
      </w:pPr>
      <w:r>
        <w:rPr>
          <w:rFonts w:ascii="Calibri" w:hAnsi="Calibri" w:eastAsia="Calibri" w:cs="Calibri"/>
          <w:color w:val="000000"/>
          <w:sz w:val="22"/>
        </w:rPr>
        <w:t>Sprint 2</w:t>
      </w:r>
    </w:p>
    <w:p>
      <w:pPr>
        <w:spacing w:after="0"/>
        <w:jc w:val="center"/>
      </w:pPr>
      <w:r>
        <w:rPr>
          <w:rFonts w:ascii="Calibri" w:hAnsi="Calibri" w:eastAsia="Calibri" w:cs="Calibri"/>
          <w:color w:val="000000"/>
          <w:sz w:val="22"/>
        </w:rPr>
        <w:t>Comisión 7 – Proyecto SkyLink</w:t>
      </w:r>
    </w:p>
    <w:p>
      <w:pPr>
        <w:spacing w:before="80" w:after="200"/>
        <w:pBdr>
          <w:bottom w:val="single" w:sz="12" w:space="4" w:color="4F81BD"/>
        </w:pBdr>
      </w:pPr>
    </w:p>
    <w:p>
      <w:pPr>
        <w:keepNext/>
        <w:spacing w:before="240" w:after="100"/>
      </w:pPr>
      <w:r>
        <w:rPr>
          <w:rFonts w:ascii="Calibri" w:hAnsi="Calibri" w:eastAsia="Calibri" w:cs="Calibri"/>
          <w:b/>
          <w:color w:val="1F4E79"/>
          <w:sz w:val="27"/>
        </w:rPr>
        <w:t>1. Introducción</w:t>
      </w:r>
    </w:p>
    <w:p>
      <w:pPr>
        <w:spacing w:after="80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La presente retrospectiva analiza el trabajo realizado por la Comisión 7 durante el Sprint 2 del proyecto SkyLink. El sprint abarcó la gestión de pagos, los reportes de ocupación, las búsquedas de reservas en mostrador y el proceso de check-in con selección de asiento y emisión del ticket electrónico. Se completaron las 9 Historias de Usuario planificadas (US-12 a US-20), con 18 tareas finalizadas sobre 45 horas estimadas (28 h de desarrollo y 17 h de testing) y 29,5 horas reales registradas.</w:t>
      </w:r>
    </w:p>
    <w:p>
      <w:pPr>
        <w:keepNext/>
        <w:spacing w:before="240" w:after="100"/>
      </w:pPr>
      <w:r>
        <w:rPr>
          <w:rFonts w:ascii="Calibri" w:hAnsi="Calibri" w:eastAsia="Calibri" w:cs="Calibri"/>
          <w:b/>
          <w:color w:val="1F4E79"/>
          <w:sz w:val="27"/>
        </w:rPr>
        <w:t>2. ¿Qué se hizo bien?</w:t>
      </w:r>
    </w:p>
    <w:p>
      <w:pPr>
        <w:spacing w:after="80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Durante el Sprint 2 se destacan los siguientes aspectos positivos:</w:t>
      </w:r>
    </w:p>
    <w:p>
      <w:pPr>
        <w:pStyle w:val="ListBullet"/>
        <w:spacing w:after="40" w:line="259" w:lineRule="auto"/>
      </w:pPr>
      <w:r>
        <w:rPr>
          <w:rFonts w:ascii="Calibri" w:hAnsi="Calibri" w:eastAsia="Calibri" w:cs="Calibri"/>
          <w:b/>
          <w:color w:val="000000"/>
          <w:sz w:val="22"/>
        </w:rPr>
        <w:t xml:space="preserve">Cumplimiento del alcance: </w:t>
      </w:r>
      <w:r>
        <w:rPr>
          <w:rFonts w:ascii="Calibri" w:hAnsi="Calibri" w:eastAsia="Calibri" w:cs="Calibri"/>
          <w:color w:val="000000"/>
          <w:sz w:val="22"/>
        </w:rPr>
        <w:t>se completaron las 18 tareas planificadas y se entregaron las 9 US del sprint.</w:t>
      </w:r>
    </w:p>
    <w:p>
      <w:pPr>
        <w:pStyle w:val="ListBullet"/>
        <w:spacing w:after="40" w:line="259" w:lineRule="auto"/>
      </w:pPr>
      <w:r>
        <w:rPr>
          <w:rFonts w:ascii="Calibri" w:hAnsi="Calibri" w:eastAsia="Calibri" w:cs="Calibri"/>
          <w:b/>
          <w:color w:val="000000"/>
          <w:sz w:val="22"/>
        </w:rPr>
        <w:t xml:space="preserve">Eficiencia en el esfuerzo: </w:t>
      </w:r>
      <w:r>
        <w:rPr>
          <w:rFonts w:ascii="Calibri" w:hAnsi="Calibri" w:eastAsia="Calibri" w:cs="Calibri"/>
          <w:color w:val="000000"/>
          <w:sz w:val="22"/>
        </w:rPr>
        <w:t>se registraron 29,5 horas reales frente a 45 horas estimadas (28 h de desarrollo y 17 h de testing), equivalentes al 65,6% del esfuerzo previsto y 15,5 horas menos.</w:t>
      </w:r>
    </w:p>
    <w:p>
      <w:pPr>
        <w:pStyle w:val="ListBullet"/>
        <w:spacing w:after="40" w:line="259" w:lineRule="auto"/>
      </w:pPr>
      <w:r>
        <w:rPr>
          <w:rFonts w:ascii="Calibri" w:hAnsi="Calibri" w:eastAsia="Calibri" w:cs="Calibri"/>
          <w:b/>
          <w:color w:val="000000"/>
          <w:sz w:val="22"/>
        </w:rPr>
        <w:t xml:space="preserve">Cobertura funcional: </w:t>
      </w:r>
      <w:r>
        <w:rPr>
          <w:rFonts w:ascii="Calibri" w:hAnsi="Calibri" w:eastAsia="Calibri" w:cs="Calibri"/>
          <w:color w:val="000000"/>
          <w:sz w:val="22"/>
        </w:rPr>
        <w:t>se implementaron pagos con único medio y combinado, reportes tabulares y filtros de ocupación, búsquedas de reservas por DNI y por vuelo, control temporal del check-in, mapa interactivo de asientos y ticket electrónico en PDF.</w:t>
      </w:r>
    </w:p>
    <w:p>
      <w:pPr>
        <w:pStyle w:val="ListBullet"/>
        <w:spacing w:after="40" w:line="259" w:lineRule="auto"/>
      </w:pPr>
      <w:r>
        <w:rPr>
          <w:rFonts w:ascii="Calibri" w:hAnsi="Calibri" w:eastAsia="Calibri" w:cs="Calibri"/>
          <w:b/>
          <w:color w:val="000000"/>
          <w:sz w:val="22"/>
        </w:rPr>
        <w:t xml:space="preserve">Calidad desde el diseño: </w:t>
      </w:r>
      <w:r>
        <w:rPr>
          <w:rFonts w:ascii="Calibri" w:hAnsi="Calibri" w:eastAsia="Calibri" w:cs="Calibri"/>
          <w:color w:val="000000"/>
          <w:sz w:val="22"/>
        </w:rPr>
        <w:t>cada US incluyó una tarea de testing y se definieron escenarios de excepción para tarjetas rechazadas, reservas expiradas, rangos de fechas inválidos, DNI o vuelos con formato incorrecto, colisiones de asientos y descarga de ticket sin check-in.</w:t>
      </w:r>
    </w:p>
    <w:p>
      <w:pPr>
        <w:pStyle w:val="ListBullet"/>
        <w:spacing w:after="40" w:line="259" w:lineRule="auto"/>
      </w:pPr>
      <w:r>
        <w:rPr>
          <w:rFonts w:ascii="Calibri" w:hAnsi="Calibri" w:eastAsia="Calibri" w:cs="Calibri"/>
          <w:b/>
          <w:color w:val="000000"/>
          <w:sz w:val="22"/>
        </w:rPr>
        <w:t xml:space="preserve">Trabajo colaborativo y ownership: </w:t>
      </w:r>
      <w:r>
        <w:rPr>
          <w:rFonts w:ascii="Calibri" w:hAnsi="Calibri" w:eastAsia="Calibri" w:cs="Calibri"/>
          <w:color w:val="000000"/>
          <w:sz w:val="22"/>
        </w:rPr>
        <w:t>se asignó un responsable por US para desarrollo y testing, con una distribución equilibrada de la carga entre los integrantes.</w:t>
      </w:r>
    </w:p>
    <w:p>
      <w:pPr>
        <w:pStyle w:val="ListBullet"/>
        <w:spacing w:after="40" w:line="259" w:lineRule="auto"/>
      </w:pPr>
      <w:r>
        <w:rPr>
          <w:rFonts w:ascii="Calibri" w:hAnsi="Calibri" w:eastAsia="Calibri" w:cs="Calibri"/>
          <w:b/>
          <w:color w:val="000000"/>
          <w:sz w:val="22"/>
        </w:rPr>
        <w:t xml:space="preserve">Documentación de seguimiento: </w:t>
      </w:r>
      <w:r>
        <w:rPr>
          <w:rFonts w:ascii="Calibri" w:hAnsi="Calibri" w:eastAsia="Calibri" w:cs="Calibri"/>
          <w:color w:val="000000"/>
          <w:sz w:val="22"/>
        </w:rPr>
        <w:t>se contó con la asignación de tareas con horas y estado, tres minutas de daily (14, 17 y 21/10), el plan de demo con escenarios exitosos y de excepción y la reunión de refinement del 23/10 con las US y los criterios de aceptación consolidados. La minuta del 21/10 registra la entrega formal de wireframes a la Comisión 8.</w:t>
      </w:r>
    </w:p>
    <w:p>
      <w:pPr>
        <w:pStyle w:val="ListBullet"/>
        <w:spacing w:after="40" w:line="259" w:lineRule="auto"/>
      </w:pPr>
      <w:r>
        <w:rPr>
          <w:rFonts w:ascii="Calibri" w:hAnsi="Calibri" w:eastAsia="Calibri" w:cs="Calibri"/>
          <w:b/>
          <w:color w:val="000000"/>
          <w:sz w:val="22"/>
        </w:rPr>
        <w:t xml:space="preserve">Preparación de la demo: </w:t>
      </w:r>
      <w:r>
        <w:rPr>
          <w:rFonts w:ascii="Calibri" w:hAnsi="Calibri" w:eastAsia="Calibri" w:cs="Calibri"/>
          <w:color w:val="000000"/>
          <w:sz w:val="22"/>
        </w:rPr>
        <w:t>el Plan de Demo del Sprint 2 documentó las 9 US y sus escenarios para la presentación del 22/10/2026.</w:t>
      </w:r>
    </w:p>
    <w:p>
      <w:pPr>
        <w:pStyle w:val="ListBullet"/>
        <w:spacing w:after="40" w:line="259" w:lineRule="auto"/>
      </w:pPr>
      <w:r>
        <w:rPr>
          <w:rFonts w:ascii="Calibri" w:hAnsi="Calibri" w:eastAsia="Calibri" w:cs="Calibri"/>
          <w:b/>
          <w:color w:val="000000"/>
          <w:sz w:val="22"/>
        </w:rPr>
        <w:t xml:space="preserve">Continuidad con el Sprint 1: </w:t>
      </w:r>
      <w:r>
        <w:rPr>
          <w:rFonts w:ascii="Calibri" w:hAnsi="Calibri" w:eastAsia="Calibri" w:cs="Calibri"/>
          <w:color w:val="000000"/>
          <w:sz w:val="22"/>
        </w:rPr>
        <w:t>se reutilizaron criterios de validación, roles, cancelación web y notificaciones, y se consolidó la numeración US-12 a US-20 en los entregables del sprint.</w:t>
      </w:r>
    </w:p>
    <w:p>
      <w:pPr>
        <w:pStyle w:val="ListBullet"/>
        <w:spacing w:after="40" w:line="259" w:lineRule="auto"/>
      </w:pPr>
      <w:r>
        <w:rPr>
          <w:rFonts w:ascii="Calibri" w:hAnsi="Calibri" w:eastAsia="Calibri" w:cs="Calibri"/>
          <w:b/>
          <w:color w:val="000000"/>
          <w:sz w:val="22"/>
        </w:rPr>
        <w:t xml:space="preserve">Decisiones pragmáticas: </w:t>
      </w:r>
      <w:r>
        <w:rPr>
          <w:rFonts w:ascii="Calibri" w:hAnsi="Calibri" w:eastAsia="Calibri" w:cs="Calibri"/>
          <w:color w:val="000000"/>
          <w:sz w:val="22"/>
        </w:rPr>
        <w:t>se definió un pago simulado sin pasarela real y un comprobante basado en los wireframes entregados el 21/10, lo que redujo dependencias externas y permitió cerrar el alcance.</w:t>
      </w:r>
    </w:p>
    <w:p>
      <w:r>
        <w:br w:type="page"/>
      </w:r>
    </w:p>
    <w:p>
      <w:pPr>
        <w:keepNext/>
        <w:spacing w:before="240" w:after="100"/>
      </w:pPr>
      <w:r>
        <w:rPr>
          <w:rFonts w:ascii="Calibri" w:hAnsi="Calibri" w:eastAsia="Calibri" w:cs="Calibri"/>
          <w:b/>
          <w:color w:val="1F4E79"/>
          <w:sz w:val="27"/>
        </w:rPr>
        <w:t>3. ¿Qué se debe mejorar?</w:t>
      </w:r>
    </w:p>
    <w:p>
      <w:pPr>
        <w:spacing w:after="80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A partir del trabajo realizado, se identifican las siguientes oportunidades de mejora:</w:t>
      </w:r>
    </w:p>
    <w:p>
      <w:pPr>
        <w:pStyle w:val="ListBullet"/>
        <w:spacing w:after="40" w:line="259" w:lineRule="auto"/>
      </w:pPr>
      <w:r>
        <w:rPr>
          <w:rFonts w:ascii="Calibri" w:hAnsi="Calibri" w:eastAsia="Calibri" w:cs="Calibri"/>
          <w:b/>
          <w:color w:val="000000"/>
          <w:sz w:val="22"/>
        </w:rPr>
        <w:t xml:space="preserve">Estimación de esfuerzo: </w:t>
      </w:r>
      <w:r>
        <w:rPr>
          <w:rFonts w:ascii="Calibri" w:hAnsi="Calibri" w:eastAsia="Calibri" w:cs="Calibri"/>
          <w:color w:val="000000"/>
          <w:sz w:val="22"/>
        </w:rPr>
        <w:t>se estimaron 45 horas (28 de desarrollo y 17 de testing) y se consumieron 29,5, un desvío de -34,4%. Conviene registrar las horas reales por rubro y calibrar las estimaciones con datos históricos.</w:t>
      </w:r>
    </w:p>
    <w:p>
      <w:pPr>
        <w:pStyle w:val="ListBullet"/>
        <w:spacing w:after="40" w:line="259" w:lineRule="auto"/>
      </w:pPr>
      <w:r>
        <w:rPr>
          <w:rFonts w:ascii="Calibri" w:hAnsi="Calibri" w:eastAsia="Calibri" w:cs="Calibri"/>
          <w:b/>
          <w:color w:val="000000"/>
          <w:sz w:val="22"/>
        </w:rPr>
        <w:t xml:space="preserve">Consistencia de numeración y trazabilidad: </w:t>
      </w:r>
      <w:r>
        <w:rPr>
          <w:rFonts w:ascii="Calibri" w:hAnsi="Calibri" w:eastAsia="Calibri" w:cs="Calibri"/>
          <w:color w:val="000000"/>
          <w:sz w:val="22"/>
        </w:rPr>
        <w:t>se detectaron diferencias entre la planificación inicial, el documento de US actualizado y el de requerimientos del Sprint 3. Es necesario mantener un catálogo único de US, una matriz US → tarea → prueba y una numeración sin duplicados.</w:t>
      </w:r>
    </w:p>
    <w:p>
      <w:pPr>
        <w:pStyle w:val="ListBullet"/>
        <w:spacing w:after="40" w:line="259" w:lineRule="auto"/>
      </w:pPr>
      <w:r>
        <w:rPr>
          <w:rFonts w:ascii="Calibri" w:hAnsi="Calibri" w:eastAsia="Calibri" w:cs="Calibri"/>
          <w:b/>
          <w:color w:val="000000"/>
          <w:sz w:val="22"/>
        </w:rPr>
        <w:t xml:space="preserve">Calidad de las minutas: </w:t>
      </w:r>
      <w:r>
        <w:rPr>
          <w:rFonts w:ascii="Calibri" w:hAnsi="Calibri" w:eastAsia="Calibri" w:cs="Calibri"/>
          <w:color w:val="000000"/>
          <w:sz w:val="22"/>
        </w:rPr>
        <w:t>la minuta del 14/10/2026 incluye temas ajenos al proyecto, como turnos médicos y reintegros. Las minutas del 17/10 y 21/10 documentan la coordinación y entrega de wireframes con la Comisión 8, pero no el avance de las tareas del Sprint de la Comisión 7. Debe usarse una plantilla específica y registrar decisiones, avances y pendientes del sprint.</w:t>
      </w:r>
    </w:p>
    <w:p>
      <w:pPr>
        <w:pStyle w:val="ListBullet"/>
        <w:spacing w:after="40" w:line="259" w:lineRule="auto"/>
      </w:pPr>
      <w:r>
        <w:rPr>
          <w:rFonts w:ascii="Calibri" w:hAnsi="Calibri" w:eastAsia="Calibri" w:cs="Calibri"/>
          <w:b/>
          <w:color w:val="000000"/>
          <w:sz w:val="22"/>
        </w:rPr>
        <w:t xml:space="preserve">Criterios de aceptación: </w:t>
      </w:r>
      <w:r>
        <w:rPr>
          <w:rFonts w:ascii="Calibri" w:hAnsi="Calibri" w:eastAsia="Calibri" w:cs="Calibri"/>
          <w:color w:val="000000"/>
          <w:sz w:val="22"/>
        </w:rPr>
        <w:t>algunos criterios se terminaron de consolidar en el refinement del 23/10 y en el plan de demo del 22/10. Deben definirse antes del desarrollo, como parte de la Definition of Ready.</w:t>
      </w:r>
    </w:p>
    <w:p>
      <w:pPr>
        <w:pStyle w:val="ListBullet"/>
        <w:spacing w:after="40" w:line="259" w:lineRule="auto"/>
      </w:pPr>
      <w:r>
        <w:rPr>
          <w:rFonts w:ascii="Calibri" w:hAnsi="Calibri" w:eastAsia="Calibri" w:cs="Calibri"/>
          <w:b/>
          <w:color w:val="000000"/>
          <w:sz w:val="22"/>
        </w:rPr>
        <w:t xml:space="preserve">Alcance y prioridades del Sprint 3: </w:t>
      </w:r>
      <w:r>
        <w:rPr>
          <w:rFonts w:ascii="Calibri" w:hAnsi="Calibri" w:eastAsia="Calibri" w:cs="Calibri"/>
          <w:color w:val="000000"/>
          <w:sz w:val="22"/>
        </w:rPr>
        <w:t>el documento de requerimientos del Sprint 3 reutiliza US-18, US-19 y US-20 con alcances distintos a los del Sprint 2. US-18 (check-in y asientos) y US-19 (emisión de tickets) ya están cubiertas por US-18, US-19 y US-20 del Sprint 2, y US-20 (notificaciones) colisiona con la US-20 del ticket PDF. Además, la emisión de tickets pasa de Media a Alta. Se debe depurar el backlog, marcar lo ya entregado, renumerar las nuevas US (por ejemplo, Notificaciones como US-25) y unificar la escala de prioridades.</w:t>
      </w:r>
    </w:p>
    <w:p>
      <w:pPr>
        <w:pStyle w:val="ListBullet"/>
        <w:spacing w:after="40" w:line="259" w:lineRule="auto"/>
      </w:pPr>
      <w:r>
        <w:rPr>
          <w:rFonts w:ascii="Calibri" w:hAnsi="Calibri" w:eastAsia="Calibri" w:cs="Calibri"/>
          <w:b/>
          <w:color w:val="000000"/>
          <w:sz w:val="22"/>
        </w:rPr>
        <w:t xml:space="preserve">Evidencia de pruebas: </w:t>
      </w:r>
      <w:r>
        <w:rPr>
          <w:rFonts w:ascii="Calibri" w:hAnsi="Calibri" w:eastAsia="Calibri" w:cs="Calibri"/>
          <w:color w:val="000000"/>
          <w:sz w:val="22"/>
        </w:rPr>
        <w:t>la asignación indica tareas completadas, pero no se adjunta un reporte formal con casos ejecutados y resultados. Falta evidencia verificable del testing.</w:t>
      </w:r>
    </w:p>
    <w:p>
      <w:pPr>
        <w:pStyle w:val="ListBullet"/>
        <w:spacing w:after="40" w:line="259" w:lineRule="auto"/>
      </w:pPr>
      <w:r>
        <w:rPr>
          <w:rFonts w:ascii="Calibri" w:hAnsi="Calibri" w:eastAsia="Calibri" w:cs="Calibri"/>
          <w:b/>
          <w:color w:val="000000"/>
          <w:sz w:val="22"/>
        </w:rPr>
        <w:t xml:space="preserve">Métrica de avance: </w:t>
      </w:r>
      <w:r>
        <w:rPr>
          <w:rFonts w:ascii="Calibri" w:hAnsi="Calibri" w:eastAsia="Calibri" w:cs="Calibri"/>
          <w:color w:val="000000"/>
          <w:sz w:val="22"/>
        </w:rPr>
        <w:t>el 65,56% informado corresponde a la relación entre 29,5 horas reales y 45 horas estimadas (28 de desarrollo y 17 de testing), no al avance del sprint. Con todas las tareas completas, el avance real es 100%. Debe corregirse la fórmula y la etiqueta.</w:t>
      </w:r>
    </w:p>
    <w:p>
      <w:pPr>
        <w:pStyle w:val="ListBullet"/>
        <w:spacing w:after="40" w:line="259" w:lineRule="auto"/>
      </w:pPr>
      <w:r>
        <w:rPr>
          <w:rFonts w:ascii="Calibri" w:hAnsi="Calibri" w:eastAsia="Calibri" w:cs="Calibri"/>
          <w:b/>
          <w:color w:val="000000"/>
          <w:sz w:val="22"/>
        </w:rPr>
        <w:t xml:space="preserve">Definiciones pendientes: </w:t>
      </w:r>
      <w:r>
        <w:rPr>
          <w:rFonts w:ascii="Calibri" w:hAnsi="Calibri" w:eastAsia="Calibri" w:cs="Calibri"/>
          <w:color w:val="000000"/>
          <w:sz w:val="22"/>
        </w:rPr>
        <w:t>el alcance de la cancelación de una reserva con múltiples pasajeros quedó sin confirmar. Es una definición que debe cerrarse antes del Sprint 3.</w:t>
      </w:r>
    </w:p>
    <w:p>
      <w:pPr>
        <w:pStyle w:val="ListBullet"/>
        <w:spacing w:after="40" w:line="259" w:lineRule="auto"/>
      </w:pPr>
      <w:r>
        <w:rPr>
          <w:rFonts w:ascii="Calibri" w:hAnsi="Calibri" w:eastAsia="Calibri" w:cs="Calibri"/>
          <w:b/>
          <w:color w:val="000000"/>
          <w:sz w:val="22"/>
        </w:rPr>
        <w:t xml:space="preserve">Dependencia de un responsable por US: </w:t>
      </w:r>
      <w:r>
        <w:rPr>
          <w:rFonts w:ascii="Calibri" w:hAnsi="Calibri" w:eastAsia="Calibri" w:cs="Calibri"/>
          <w:color w:val="000000"/>
          <w:sz w:val="22"/>
        </w:rPr>
        <w:t>la asignación uno a uno puede afectar la continuidad ante ausencias. Conviene incorporar revisión cruzada y documentación técnica mínima.</w:t>
      </w:r>
    </w:p>
    <w:p>
      <w:pPr>
        <w:pStyle w:val="ListBullet"/>
        <w:spacing w:after="40" w:line="259" w:lineRule="auto"/>
      </w:pPr>
      <w:r>
        <w:rPr>
          <w:rFonts w:ascii="Calibri" w:hAnsi="Calibri" w:eastAsia="Calibri" w:cs="Calibri"/>
          <w:b/>
          <w:color w:val="000000"/>
          <w:sz w:val="22"/>
        </w:rPr>
        <w:t xml:space="preserve">Control de cambios: </w:t>
      </w:r>
      <w:r>
        <w:rPr>
          <w:rFonts w:ascii="Calibri" w:hAnsi="Calibri" w:eastAsia="Calibri" w:cs="Calibri"/>
          <w:color w:val="000000"/>
          <w:sz w:val="22"/>
        </w:rPr>
        <w:t>la incorporación de check-in, selección de asiento y ticket PDF no estaba detallada en la planificación inicial; el refinement del 23/10 la formalizó, pero debe registrarse el análisis de impacto y la aprobación del cambio de alcance.</w:t>
      </w:r>
    </w:p>
    <w:p>
      <w:r>
        <w:br w:type="page"/>
      </w:r>
    </w:p>
    <w:p>
      <w:pPr>
        <w:keepNext/>
        <w:spacing w:before="240" w:after="100"/>
      </w:pPr>
      <w:r>
        <w:rPr>
          <w:rFonts w:ascii="Calibri" w:hAnsi="Calibri" w:eastAsia="Calibri" w:cs="Calibri"/>
          <w:b/>
          <w:color w:val="1F4E79"/>
          <w:sz w:val="27"/>
        </w:rPr>
        <w:t>4. Acciones a tomar</w:t>
      </w:r>
    </w:p>
    <w:p>
      <w:pPr>
        <w:spacing w:after="80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Para cada oportunidad de mejora se propone una acción concreta, un responsable y un plazo sugerido: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9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55" w:type="dxa"/>
          <w:left w:w="85" w:type="dxa"/>
          <w:bottom w:w="55" w:type="dxa"/>
          <w:right w:w="85" w:type="dxa"/>
        </w:tblCellMar>
      </w:tblPr>
      <w:tblGrid>
        <w:gridCol w:w="1928"/>
        <w:gridCol w:w="4649"/>
        <w:gridCol w:w="1871"/>
        <w:gridCol w:w="1247"/>
      </w:tblGrid>
      <w:tr>
        <w:trPr>
          <w:tblHeader w:val="true"/>
          <w:cantSplit/>
        </w:trPr>
        <w:tc>
          <w:tcPr>
            <w:tcW w:type="dxa" w:w="1928"/>
            <w:vAlign w:val="center"/>
            <w:shd w:val="clear" w:color="auto" w:fill="1F4E7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Aspecto a mejorar</w:t>
            </w:r>
          </w:p>
        </w:tc>
        <w:tc>
          <w:tcPr>
            <w:tcW w:type="dxa" w:w="4649"/>
            <w:vAlign w:val="center"/>
            <w:shd w:val="clear" w:color="auto" w:fill="1F4E7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Acción propuesta</w:t>
            </w:r>
          </w:p>
        </w:tc>
        <w:tc>
          <w:tcPr>
            <w:tcW w:type="dxa" w:w="1871"/>
            <w:vAlign w:val="center"/>
            <w:shd w:val="clear" w:color="auto" w:fill="1F4E7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1247"/>
            <w:vAlign w:val="center"/>
            <w:shd w:val="clear" w:color="auto" w:fill="1F4E7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Plazo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Estimación de esfuerzo</w:t>
            </w:r>
          </w:p>
        </w:tc>
        <w:tc>
          <w:tcPr>
            <w:tcW w:type="dxa" w:w="4649"/>
            <w:vAlign w:val="top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Estimar por tarea separando desarrollo y testing; registrar horas reales por rubro y usar el histórico del Sprint 2 (28 h de desarrollo y 17 h de testing) para calibrar.</w:t>
            </w:r>
          </w:p>
        </w:tc>
        <w:tc>
          <w:tcPr>
            <w:tcW w:type="dxa" w:w="1871"/>
            <w:vAlign w:val="top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Líder de proyecto / equipo</w:t>
            </w:r>
          </w:p>
        </w:tc>
        <w:tc>
          <w:tcPr>
            <w:tcW w:type="dxa" w:w="1247"/>
            <w:vAlign w:val="top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Antes del Sprint 3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Trazabilidad y numeración</w:t>
            </w:r>
          </w:p>
        </w:tc>
        <w:tc>
          <w:tcPr>
            <w:tcW w:type="dxa" w:w="4649"/>
            <w:vAlign w:val="top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Mantener un catálogo único de US con identificadores cerrados y una matriz US → tarea → prueba; congelar la numeración al inicio del sprint y corregir la reutilización de US-18 a US-20 en el documento del Sprint 3, marcando lo ya entregado y renumerando las nuevas US desde US-25.</w:t>
            </w:r>
          </w:p>
        </w:tc>
        <w:tc>
          <w:tcPr>
            <w:tcW w:type="dxa" w:w="1871"/>
            <w:vAlign w:val="top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Analista / PM</w:t>
            </w:r>
          </w:p>
        </w:tc>
        <w:tc>
          <w:tcPr>
            <w:tcW w:type="dxa" w:w="1247"/>
            <w:vAlign w:val="top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Inicio del Sprint 3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Minutas</w:t>
            </w:r>
          </w:p>
        </w:tc>
        <w:tc>
          <w:tcPr>
            <w:tcW w:type="dxa" w:w="4649"/>
            <w:vAlign w:val="top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Usar una plantilla con temas del proyecto, decisiones, avances, responsables y pendientes; registrar el avance del sprint en cada daily (14, 17 y 21/10) y revisar el contenido antes de publicar.</w:t>
            </w:r>
          </w:p>
        </w:tc>
        <w:tc>
          <w:tcPr>
            <w:tcW w:type="dxa" w:w="1871"/>
            <w:vAlign w:val="top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Secretario de reunión</w:t>
            </w:r>
          </w:p>
        </w:tc>
        <w:tc>
          <w:tcPr>
            <w:tcW w:type="dxa" w:w="1247"/>
            <w:vAlign w:val="top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Próxima daily del Sprint 3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Criterios de aceptación</w:t>
            </w:r>
          </w:p>
        </w:tc>
        <w:tc>
          <w:tcPr>
            <w:tcW w:type="dxa" w:w="4649"/>
            <w:vAlign w:val="top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Completar criterios y escenarios de excepción antes de iniciar el desarrollo (Definition of Ready).</w:t>
            </w:r>
          </w:p>
        </w:tc>
        <w:tc>
          <w:tcPr>
            <w:tcW w:type="dxa" w:w="1871"/>
            <w:vAlign w:val="top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Analista / cliente</w:t>
            </w:r>
          </w:p>
        </w:tc>
        <w:tc>
          <w:tcPr>
            <w:tcW w:type="dxa" w:w="1247"/>
            <w:vAlign w:val="top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Refinement del Sprint 3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Prioridades</w:t>
            </w:r>
          </w:p>
        </w:tc>
        <w:tc>
          <w:tcPr>
            <w:tcW w:type="dxa" w:w="4649"/>
            <w:vAlign w:val="top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Unificar la escala, la prioridad y la numeración de las US en un único documento validado con el cliente, incluyendo la correspondencia entre Sprint 2 y Sprint 3.</w:t>
            </w:r>
          </w:p>
        </w:tc>
        <w:tc>
          <w:tcPr>
            <w:tcW w:type="dxa" w:w="1871"/>
            <w:vAlign w:val="top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Analista / PM</w:t>
            </w:r>
          </w:p>
        </w:tc>
        <w:tc>
          <w:tcPr>
            <w:tcW w:type="dxa" w:w="1247"/>
            <w:vAlign w:val="top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Inicio del Sprint 3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Evidencia de pruebas</w:t>
            </w:r>
          </w:p>
        </w:tc>
        <w:tc>
          <w:tcPr>
            <w:tcW w:type="dxa" w:w="4649"/>
            <w:vAlign w:val="top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Adjuntar un reporte de pruebas por US con casos ejecutados, resultados y checklist de regresión.</w:t>
            </w:r>
          </w:p>
        </w:tc>
        <w:tc>
          <w:tcPr>
            <w:tcW w:type="dxa" w:w="1871"/>
            <w:vAlign w:val="top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Responsables de testing</w:t>
            </w:r>
          </w:p>
        </w:tc>
        <w:tc>
          <w:tcPr>
            <w:tcW w:type="dxa" w:w="1247"/>
            <w:vAlign w:val="top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Cierre de cada US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Métrica de avance</w:t>
            </w:r>
          </w:p>
        </w:tc>
        <w:tc>
          <w:tcPr>
            <w:tcW w:type="dxa" w:w="4649"/>
            <w:vAlign w:val="top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Corregir la fórmula y la etiqueta; reportar avance real, horas estimadas (desarrollo y testing), horas reales y desvío.</w:t>
            </w:r>
          </w:p>
        </w:tc>
        <w:tc>
          <w:tcPr>
            <w:tcW w:type="dxa" w:w="1871"/>
            <w:vAlign w:val="top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PM</w:t>
            </w:r>
          </w:p>
        </w:tc>
        <w:tc>
          <w:tcPr>
            <w:tcW w:type="dxa" w:w="1247"/>
            <w:vAlign w:val="top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Próximo reporte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Definiciones pendientes</w:t>
            </w:r>
          </w:p>
        </w:tc>
        <w:tc>
          <w:tcPr>
            <w:tcW w:type="dxa" w:w="4649"/>
            <w:vAlign w:val="top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Cerrar la cancelación con múltiples pasajeros y los casos límite de check-in y pagos antes de iniciar el Sprint 3.</w:t>
            </w:r>
          </w:p>
        </w:tc>
        <w:tc>
          <w:tcPr>
            <w:tcW w:type="dxa" w:w="1871"/>
            <w:vAlign w:val="top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Analista / cliente</w:t>
            </w:r>
          </w:p>
        </w:tc>
        <w:tc>
          <w:tcPr>
            <w:tcW w:type="dxa" w:w="1247"/>
            <w:vAlign w:val="top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Antes del Sprint 3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Revisión documental</w:t>
            </w:r>
          </w:p>
        </w:tc>
        <w:tc>
          <w:tcPr>
            <w:tcW w:type="dxa" w:w="4649"/>
            <w:vAlign w:val="top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Aplicar un checklist final de fechas, nombres, numeración, contenido ajeno, tildes y consistencia antes de cada entrega.</w:t>
            </w:r>
          </w:p>
        </w:tc>
        <w:tc>
          <w:tcPr>
            <w:tcW w:type="dxa" w:w="1871"/>
            <w:vAlign w:val="top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Equipo</w:t>
            </w:r>
          </w:p>
        </w:tc>
        <w:tc>
          <w:tcPr>
            <w:tcW w:type="dxa" w:w="1247"/>
            <w:vAlign w:val="top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Cierre de sprint</w:t>
            </w:r>
          </w:p>
        </w:tc>
      </w:tr>
    </w:tbl>
    <w:p>
      <w:pPr>
        <w:keepNext/>
        <w:spacing w:before="240" w:after="100"/>
      </w:pPr>
      <w:r>
        <w:rPr>
          <w:rFonts w:ascii="Calibri" w:hAnsi="Calibri" w:eastAsia="Calibri" w:cs="Calibri"/>
          <w:b/>
          <w:color w:val="1F4E79"/>
          <w:sz w:val="27"/>
        </w:rPr>
        <w:t>5. Conclusión</w:t>
      </w:r>
    </w:p>
    <w:p>
      <w:pPr>
        <w:spacing w:after="80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El Sprint 2 permitió entregar el núcleo funcional de pagos, reportes, atención en mostrador y check-in, con el 100% de las tareas completadas y un consumo de 29,5 h frente a las 45 h estimadas (28 h de desarrollo y 17 h de testing). La experiencia deja como principales desafíos mejorar la calibración de las estimaciones, asegurar la trazabilidad de las US y elevar la calidad de la documentación de seguimiento. Para el Sprint 3 se priorizarán estas acciones, junto con el cierre de las definiciones pendientes, para sostener la previsibilidad y la calidad del incremento.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 w:eastAsia="Calibri" w:cs="Calibri"/>
        <w:color w:val="666666"/>
        <w:sz w:val="16"/>
      </w:rPr>
      <w:t>SkyLink · Retrospectiva Sprint 2 · Comisión 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pBdr>
        <w:bottom w:val="single" w:sz="4" w:space="4" w:color="D9D9D9"/>
      </w:pBdr>
    </w:pPr>
    <w:r>
      <w:rPr>
        <w:rFonts w:ascii="Calibri" w:hAnsi="Calibri" w:eastAsia="Calibri" w:cs="Calibri"/>
        <w:color w:val="666666"/>
        <w:sz w:val="16"/>
      </w:rPr>
      <w:t>SKYLINK | Comisión 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59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Retrospectiva Sprint 2 - Comisión 7</dc:title>
  <dc:subject>Proyecto SkyLink - Sprint 2</dc:subject>
  <dc:creator>Comisión 7 - Proyecto SkyLink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