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000000"/>
          <w:sz w:val="21"/>
          <w:szCs w:val="21"/>
        </w:rPr>
      </w:pPr>
      <w:bookmarkStart w:colFirst="0" w:colLast="0" w:name="_hz6r2qvximm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Input Sources （输入源）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在 Spark 2.0 中，有一些内置的 sources 。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File source（文件源） - 以文件流的形式读取目录中写入的文件。支持的文件格式为 text ， csv ， json ， parquet 。有关更多的 up-to-date 列表，以及每种文件格式的支持选项，请参阅 DataStreamReader interface 的文档。请注意，文件必须以 atomically （原子方式）放置在给定的目录中，这在大多数文件系统中可以通过文件移动操作实现。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Kafka source（Kafka 源） - 来自 Kafka 的 Poll 数据。它与 Kafka broker 的 0.10.0 或者更高的版本兼容。有关详细信息，请参阅 </w:t>
      </w:r>
      <w:hyperlink r:id="rId6">
        <w:r w:rsidDel="00000000" w:rsidR="00000000" w:rsidRPr="00000000">
          <w:rPr>
            <w:color w:val="00a4ff"/>
            <w:sz w:val="21"/>
            <w:szCs w:val="21"/>
            <w:rtl w:val="0"/>
          </w:rPr>
          <w:t xml:space="preserve">Kafka  Integration 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Socket source (for testing) （Socket 源（用于测试）） - 从一个 socket 连接中读取 UTF8 文本数据。 listening server socket （监听服务器 socket）位于 driver 。请注意，这只能用于测试，因为它不提供 end-to-end fault-tolerance （端到端的容错）保证。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7.4326196947075"/>
        <w:gridCol w:w="5183.820562675232"/>
        <w:gridCol w:w="1095.8670548173293"/>
        <w:gridCol w:w="1588.391573836354"/>
        <w:tblGridChange w:id="0">
          <w:tblGrid>
            <w:gridCol w:w="1157.4326196947075"/>
            <w:gridCol w:w="5183.820562675232"/>
            <w:gridCol w:w="1095.8670548173293"/>
            <w:gridCol w:w="1588.39157383635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shd w:fill="f5f7fa" w:val="clear"/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677489"/>
                <w:sz w:val="21"/>
                <w:szCs w:val="21"/>
              </w:rPr>
            </w:pPr>
            <w:r w:rsidDel="00000000" w:rsidR="00000000" w:rsidRPr="00000000">
              <w:rPr>
                <w:color w:val="677489"/>
                <w:sz w:val="21"/>
                <w:szCs w:val="21"/>
                <w:rtl w:val="0"/>
              </w:rPr>
              <w:t xml:space="preserve">Source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shd w:fill="f5f7fa" w:val="clear"/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677489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7489"/>
                <w:sz w:val="21"/>
                <w:szCs w:val="21"/>
                <w:rtl w:val="0"/>
              </w:rPr>
              <w:t xml:space="preserve">Options（选项）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shd w:fill="f5f7fa" w:val="clear"/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677489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7489"/>
                <w:sz w:val="21"/>
                <w:szCs w:val="21"/>
                <w:rtl w:val="0"/>
              </w:rPr>
              <w:t xml:space="preserve">Fault-tolerant（容错）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shd w:fill="f5f7fa" w:val="clear"/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677489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7489"/>
                <w:sz w:val="21"/>
                <w:szCs w:val="21"/>
                <w:rtl w:val="0"/>
              </w:rPr>
              <w:t xml:space="preserve">Notes（说明）</w:t>
            </w:r>
          </w:p>
        </w:tc>
      </w:tr>
      <w:tr>
        <w:trPr>
          <w:trHeight w:val="5190" w:hRule="atLeast"/>
        </w:trPr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File source（文件源）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path: 输入路径的目录，并且与所有文件格式通用。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maxFilesPerTrigger: 每个 trigger （触发器）中要考虑的最大新文件数（默认是: 无最大值）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latestFirst: 是否先处理最新的新文件，当有大量积压的文件时有用（默认: false）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fileNameOnly: 是否仅根据文件名而不是完整路径检查新文件（默认值: false）。将此设置为 `true` ，以下文件将被视为相同的文件，因为它们的文件名 "dataset.txt" 是相同的: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· "file:///dataset.txt"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· "s3://a/dataset.txt"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· "s3n://a/b/dataset.txt"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· "s3a://a/b/c/dataset.txt"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有关特定于 file-format-specific （文件格式）的选项，请参阅DataStreamReader(Scala/Java/Python/R)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中的相关方法。例如，对于 "parquet" 格式选项请参阅 DataStreamReader.parquet()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支持 glob 路径，但是不支持多个逗号分隔的 paths/globs 。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基于文件的 sources 的 Structured Streaming 需要您指定 schema （模式），而不是依靠 Spark 自动 infer 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Socket Source（Socket 源）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host: 连接到的 host ，必须指定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port: 连接的 port （端口），必须指定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Kafka Source（Kafka 源）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请查看 Kafka Integration 指南.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e1e6f0" w:space="0" w:sz="6" w:val="single"/>
              <w:left w:color="e1e6f0" w:space="0" w:sz="6" w:val="single"/>
              <w:bottom w:color="e1e6f0" w:space="0" w:sz="6" w:val="single"/>
              <w:right w:color="e1e6f0" w:space="0" w:sz="6" w:val="single"/>
            </w:tcBorders>
            <w:tcMar>
              <w:top w:w="180.0" w:type="dxa"/>
              <w:left w:w="24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333333"/>
          <w:sz w:val="21"/>
          <w:szCs w:val="2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yellow"/>
          <w:rtl w:val="0"/>
        </w:rPr>
        <w:t xml:space="preserve">这些示例生成无类型的 streaming DataFrames ，这意味着在编译时不会检查 DataFrame 的模式，仅在运行时在 query is submitted （查询提交）的时候进行检查。像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abf5b"/>
          <w:sz w:val="21"/>
          <w:szCs w:val="21"/>
          <w:highlight w:val="yellow"/>
          <w:rtl w:val="0"/>
        </w:rPr>
        <w:t xml:space="preserve">map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yellow"/>
          <w:rtl w:val="0"/>
        </w:rPr>
        <w:t xml:space="preserve"> 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abf5b"/>
          <w:sz w:val="21"/>
          <w:szCs w:val="21"/>
          <w:highlight w:val="yellow"/>
          <w:rtl w:val="0"/>
        </w:rPr>
        <w:t xml:space="preserve">flatMap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yellow"/>
          <w:rtl w:val="0"/>
        </w:rPr>
        <w:t xml:space="preserve"> 等这样的操作需要在编译时知道这个类型。要做到这一点，您可以使用与  static DataFrame 相同的方法将这些 untyped （无类型）的 streaming DataFrames 转换为 typed streaming Datasets （类型化的 streaming Datasets ）。</w:t>
      </w:r>
    </w:p>
    <w:p w:rsidR="00000000" w:rsidDel="00000000" w:rsidP="00000000" w:rsidRDefault="00000000" w:rsidRPr="00000000" w14:paraId="0000002A">
      <w:pPr>
        <w:rPr>
          <w:b w:val="1"/>
          <w:color w:val="333333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33333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Window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1"/>
          <w:szCs w:val="21"/>
          <w:shd w:fill="50556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spark.implicits._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val words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50556b" w:val="clear"/>
          <w:rtl w:val="0"/>
        </w:rPr>
        <w:t xml:space="preserve">// streaming DataFrame of schema { timestamp: Timestamp, word: String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50556b" w:val="clear"/>
          <w:rtl w:val="0"/>
        </w:rPr>
        <w:t xml:space="preserve">// Group the data by window and word and compute the count of each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val windowedCounts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words.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"10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"5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$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WaterMark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1"/>
          <w:szCs w:val="21"/>
          <w:shd w:fill="50556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spark.implicits._</w:t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val words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50556b" w:val="clear"/>
          <w:rtl w:val="0"/>
        </w:rPr>
        <w:t xml:space="preserve">// streaming DataFrame of schema { timestamp: Timestamp, word: String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50556b" w:val="clear"/>
          <w:rtl w:val="0"/>
        </w:rPr>
        <w:t xml:space="preserve">// Group the data by window and word and compute the count of each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val windowedCounts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1"/>
          <w:szCs w:val="21"/>
          <w:shd w:fill="50556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words</w:t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withWatermark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"10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"10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"5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      $</w:t>
      </w:r>
      <w:r w:rsidDel="00000000" w:rsidR="00000000" w:rsidRPr="00000000">
        <w:rPr>
          <w:rFonts w:ascii="Courier New" w:cs="Courier New" w:eastAsia="Courier New" w:hAnsi="Courier New"/>
          <w:color w:val="7ec699"/>
          <w:sz w:val="21"/>
          <w:szCs w:val="21"/>
          <w:shd w:fill="50556b" w:val="clear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1"/>
          <w:szCs w:val="21"/>
          <w:shd w:fill="50556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411.4285714285714" w:lineRule="auto"/>
        <w:rPr>
          <w:b w:val="1"/>
          <w:color w:val="cccccc"/>
          <w:sz w:val="21"/>
          <w:szCs w:val="21"/>
          <w:shd w:fill="50556b" w:val="clear"/>
        </w:rPr>
      </w:pPr>
      <w:bookmarkStart w:colFirst="0" w:colLast="0" w:name="_c8d2ryac9eqf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Join 操作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333333"/>
          <w:sz w:val="21"/>
          <w:szCs w:val="21"/>
          <w:shd w:fill="50556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50556b" w:val="clear"/>
          <w:rtl w:val="0"/>
        </w:rPr>
        <w:t xml:space="preserve">Streaming DataFrames 可以与 static DataFrames 连接，以创建新的 streaming DataFrames 。</w:t>
      </w:r>
    </w:p>
    <w:p w:rsidR="00000000" w:rsidDel="00000000" w:rsidP="00000000" w:rsidRDefault="00000000" w:rsidRPr="00000000" w14:paraId="00000041">
      <w:pPr>
        <w:spacing w:after="120" w:before="120" w:line="360" w:lineRule="auto"/>
        <w:rPr>
          <w:rFonts w:ascii="Courier New" w:cs="Courier New" w:eastAsia="Courier New" w:hAnsi="Courier New"/>
          <w:color w:val="cccccc"/>
          <w:sz w:val="21"/>
          <w:szCs w:val="21"/>
          <w:shd w:fill="5055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park.apachecn.org/docs/cn/2.2.0/structured-streaming-kafka-integ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