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60" w:lineRule="exact"/>
        <w:ind w:left="480"/>
        <w:rPr>
          <w:rFonts w:hint="eastAsia"/>
          <w:sz w:val="24"/>
        </w:rPr>
      </w:pPr>
    </w:p>
    <w:p>
      <w:pPr>
        <w:spacing w:line="460" w:lineRule="exact"/>
        <w:ind w:left="480"/>
        <w:rPr>
          <w:rFonts w:hint="eastAsia"/>
          <w:sz w:val="24"/>
        </w:rPr>
      </w:pPr>
    </w:p>
    <w:p>
      <w:pPr>
        <w:spacing w:line="460" w:lineRule="exact"/>
        <w:ind w:left="480"/>
        <w:rPr>
          <w:rFonts w:hint="eastAsia"/>
          <w:sz w:val="24"/>
        </w:rPr>
      </w:pPr>
    </w:p>
    <w:p>
      <w:pPr>
        <w:spacing w:line="460" w:lineRule="exact"/>
        <w:ind w:left="480"/>
        <w:rPr>
          <w:rFonts w:hint="eastAsia"/>
          <w:sz w:val="24"/>
        </w:rPr>
      </w:pPr>
    </w:p>
    <w:p>
      <w:pPr>
        <w:spacing w:line="460" w:lineRule="exact"/>
        <w:ind w:left="480"/>
        <w:rPr>
          <w:rFonts w:hint="eastAsia"/>
          <w:sz w:val="24"/>
        </w:rPr>
      </w:pPr>
    </w:p>
    <w:p>
      <w:pPr>
        <w:ind w:left="480"/>
        <w:jc w:val="center"/>
        <w:rPr>
          <w:rFonts w:hint="eastAsia"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武汉大学计算机学院</w:t>
      </w:r>
    </w:p>
    <w:p>
      <w:pPr>
        <w:ind w:left="480"/>
        <w:jc w:val="center"/>
        <w:rPr>
          <w:rFonts w:hint="eastAsia"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本科生实验报告</w:t>
      </w:r>
    </w:p>
    <w:p>
      <w:pPr>
        <w:jc w:val="both"/>
        <w:rPr>
          <w:rFonts w:hint="eastAsia" w:ascii="宋体" w:hAnsi="宋体"/>
          <w:szCs w:val="21"/>
        </w:rPr>
      </w:pPr>
    </w:p>
    <w:p>
      <w:pPr>
        <w:ind w:left="480"/>
        <w:jc w:val="both"/>
        <w:rPr>
          <w:rFonts w:hint="eastAsia" w:ascii="宋体" w:hAnsi="宋体"/>
          <w:szCs w:val="21"/>
        </w:rPr>
      </w:pPr>
    </w:p>
    <w:p>
      <w:pPr>
        <w:jc w:val="both"/>
        <w:rPr>
          <w:rFonts w:hint="eastAsia" w:ascii="宋体" w:hAnsi="宋体"/>
          <w:szCs w:val="21"/>
        </w:rPr>
      </w:pPr>
    </w:p>
    <w:p>
      <w:pPr>
        <w:jc w:val="both"/>
        <w:rPr>
          <w:rFonts w:hint="eastAsia" w:ascii="宋体" w:hAnsi="宋体"/>
          <w:szCs w:val="21"/>
        </w:rPr>
      </w:pPr>
    </w:p>
    <w:p>
      <w:pPr>
        <w:rPr>
          <w:rFonts w:hint="eastAsia"/>
          <w:szCs w:val="21"/>
        </w:rPr>
      </w:pPr>
    </w:p>
    <w:p>
      <w:pPr>
        <w:spacing w:line="480" w:lineRule="auto"/>
        <w:ind w:firstLine="2700" w:firstLineChars="900"/>
        <w:rPr>
          <w:rFonts w:hint="default" w:eastAsia="宋体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专 业 名 称   ：</w:t>
      </w:r>
      <w:r>
        <w:rPr>
          <w:rFonts w:hint="eastAsia"/>
          <w:sz w:val="30"/>
          <w:szCs w:val="30"/>
          <w:lang w:val="en-US" w:eastAsia="zh-CN"/>
        </w:rPr>
        <w:t>软件工程</w:t>
      </w:r>
    </w:p>
    <w:p>
      <w:pPr>
        <w:spacing w:line="480" w:lineRule="auto"/>
        <w:ind w:firstLine="2700" w:firstLineChars="900"/>
        <w:rPr>
          <w:rFonts w:hint="default" w:eastAsia="宋体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课 程 名 称   ：</w:t>
      </w:r>
      <w:r>
        <w:rPr>
          <w:rFonts w:hint="eastAsia"/>
          <w:sz w:val="30"/>
          <w:szCs w:val="30"/>
          <w:lang w:val="en-US" w:eastAsia="zh-CN"/>
        </w:rPr>
        <w:t>软件需求与建模</w:t>
      </w:r>
    </w:p>
    <w:p>
      <w:pPr>
        <w:spacing w:line="480" w:lineRule="auto"/>
        <w:ind w:firstLine="2700" w:firstLineChars="9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30"/>
          <w:szCs w:val="30"/>
        </w:rPr>
        <w:t xml:space="preserve">指 导 教 师   </w:t>
      </w:r>
      <w:r>
        <w:rPr>
          <w:rFonts w:hint="eastAsia"/>
          <w:sz w:val="30"/>
          <w:szCs w:val="30"/>
          <w:lang w:eastAsia="zh-CN"/>
        </w:rPr>
        <w:t>：</w:t>
      </w:r>
      <w:r>
        <w:rPr>
          <w:rFonts w:hint="eastAsia"/>
          <w:sz w:val="30"/>
          <w:szCs w:val="30"/>
          <w:lang w:val="en-US" w:eastAsia="zh-CN"/>
        </w:rPr>
        <w:t>王翀</w:t>
      </w:r>
    </w:p>
    <w:p>
      <w:pPr>
        <w:spacing w:line="480" w:lineRule="auto"/>
        <w:ind w:firstLine="2700" w:firstLineChars="900"/>
        <w:rPr>
          <w:rFonts w:hint="default" w:eastAsia="宋体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学 生 学 号   ：20</w:t>
      </w:r>
      <w:r>
        <w:rPr>
          <w:rFonts w:hint="eastAsia"/>
          <w:sz w:val="30"/>
          <w:szCs w:val="30"/>
          <w:lang w:val="en-US" w:eastAsia="zh-CN"/>
        </w:rPr>
        <w:t>22302111255</w:t>
      </w:r>
    </w:p>
    <w:p>
      <w:pPr>
        <w:spacing w:line="480" w:lineRule="auto"/>
        <w:ind w:firstLine="2700" w:firstLineChars="900"/>
        <w:rPr>
          <w:rFonts w:hint="eastAsia" w:eastAsia="宋体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学 生 姓 名   ：</w:t>
      </w:r>
      <w:r>
        <w:rPr>
          <w:rFonts w:hint="eastAsia"/>
          <w:sz w:val="30"/>
          <w:szCs w:val="30"/>
          <w:lang w:val="en-US" w:eastAsia="zh-CN"/>
        </w:rPr>
        <w:t>徐沛秦</w:t>
      </w:r>
    </w:p>
    <w:p>
      <w:pPr>
        <w:spacing w:line="480" w:lineRule="auto"/>
        <w:ind w:left="481" w:leftChars="229" w:firstLine="2880" w:firstLineChars="1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</w:t>
      </w:r>
    </w:p>
    <w:p>
      <w:pPr>
        <w:spacing w:line="480" w:lineRule="auto"/>
        <w:rPr>
          <w:rFonts w:hint="eastAsia"/>
          <w:sz w:val="24"/>
        </w:rPr>
      </w:pPr>
    </w:p>
    <w:p>
      <w:pPr>
        <w:spacing w:line="480" w:lineRule="auto"/>
        <w:ind w:left="481" w:leftChars="229" w:firstLine="2880" w:firstLineChars="1200"/>
        <w:rPr>
          <w:rFonts w:hint="eastAsia"/>
          <w:sz w:val="24"/>
        </w:rPr>
      </w:pPr>
    </w:p>
    <w:p>
      <w:pPr>
        <w:ind w:left="480"/>
        <w:jc w:val="center"/>
        <w:rPr>
          <w:rFonts w:hint="eastAsia"/>
          <w:szCs w:val="21"/>
        </w:rPr>
      </w:pPr>
    </w:p>
    <w:p>
      <w:pPr>
        <w:ind w:left="480"/>
        <w:jc w:val="center"/>
        <w:rPr>
          <w:rFonts w:hint="eastAsia"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 w:ascii="宋体" w:hAnsi="宋体"/>
          <w:sz w:val="36"/>
          <w:szCs w:val="36"/>
        </w:rPr>
        <w:t>二○</w:t>
      </w:r>
      <w:r>
        <w:rPr>
          <w:rFonts w:hint="eastAsia" w:ascii="宋体" w:hAnsi="宋体"/>
          <w:sz w:val="36"/>
          <w:szCs w:val="36"/>
          <w:lang w:val="en-US" w:eastAsia="zh-CN"/>
        </w:rPr>
        <w:t>二四</w:t>
      </w:r>
      <w:r>
        <w:rPr>
          <w:rFonts w:hint="eastAsia" w:ascii="宋体" w:hAnsi="宋体"/>
          <w:sz w:val="36"/>
          <w:szCs w:val="36"/>
        </w:rPr>
        <w:t>年</w:t>
      </w:r>
      <w:r>
        <w:rPr>
          <w:rFonts w:hint="eastAsia" w:ascii="宋体" w:hAnsi="宋体"/>
          <w:sz w:val="36"/>
          <w:szCs w:val="36"/>
          <w:lang w:val="en-US" w:eastAsia="zh-CN"/>
        </w:rPr>
        <w:t>4</w:t>
      </w:r>
      <w:r>
        <w:rPr>
          <w:rFonts w:hint="eastAsia" w:ascii="宋体" w:hAnsi="宋体"/>
          <w:sz w:val="36"/>
          <w:szCs w:val="36"/>
        </w:rPr>
        <w:t>月</w:t>
      </w:r>
    </w:p>
    <w:p>
      <w:pPr>
        <w:jc w:val="both"/>
        <w:rPr>
          <w:rFonts w:hint="eastAsia" w:ascii="宋体" w:hAnsi="宋体"/>
          <w:sz w:val="36"/>
          <w:szCs w:val="36"/>
        </w:rPr>
      </w:pPr>
    </w:p>
    <w:p>
      <w:pPr>
        <w:jc w:val="both"/>
        <w:rPr>
          <w:rFonts w:hint="eastAsia" w:ascii="宋体" w:hAnsi="宋体"/>
          <w:sz w:val="36"/>
          <w:szCs w:val="36"/>
        </w:rPr>
      </w:pPr>
    </w:p>
    <w:p>
      <w:pPr>
        <w:jc w:val="both"/>
        <w:rPr>
          <w:rFonts w:hint="eastAsia" w:ascii="宋体" w:hAnsi="宋体"/>
          <w:sz w:val="36"/>
          <w:szCs w:val="36"/>
        </w:rPr>
      </w:pPr>
    </w:p>
    <w:p>
      <w:pPr>
        <w:rPr>
          <w:sz w:val="24"/>
        </w:rPr>
      </w:pPr>
      <w:r>
        <w:rPr>
          <w:sz w:val="24"/>
        </w:rPr>
        <w:br w:type="page"/>
      </w:r>
    </w:p>
    <w:p>
      <w:pPr>
        <w:rPr>
          <w:rFonts w:hint="eastAsia"/>
          <w:sz w:val="24"/>
        </w:rPr>
      </w:pPr>
    </w:p>
    <w:p>
      <w:pPr>
        <w:rPr>
          <w:rFonts w:hint="eastAsia"/>
          <w:szCs w:val="21"/>
        </w:rPr>
      </w:pPr>
    </w:p>
    <w:p>
      <w:pP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</w:pP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  <w:lang w:val="en-US" w:eastAsia="zh-CN"/>
        </w:rPr>
        <w:t xml:space="preserve">  </w:t>
      </w:r>
      <w:r>
        <w:rPr>
          <w:rFonts w:hint="eastAsia" w:ascii="黑体" w:hAnsi="宋体" w:eastAsia="黑体"/>
          <w:b/>
          <w:sz w:val="28"/>
          <w:szCs w:val="28"/>
        </w:rPr>
        <w:t>实验内容</w:t>
      </w:r>
    </w:p>
    <w:p>
      <w:pPr>
        <w:pStyle w:val="4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kern w:val="0"/>
          <w:sz w:val="24"/>
          <w:szCs w:val="24"/>
        </w:rPr>
        <w:t>根据一段描述，构建</w:t>
      </w:r>
      <w:r>
        <w:rPr>
          <w:rFonts w:hint="eastAsia" w:cs="Times New Roman"/>
          <w:b w:val="0"/>
          <w:bCs/>
          <w:kern w:val="0"/>
          <w:sz w:val="24"/>
          <w:szCs w:val="24"/>
          <w:lang w:val="en-US" w:eastAsia="zh-CN"/>
        </w:rPr>
        <w:t>系统的UML用例图，UML类图和UML序列图。并且对“下订单”这个用例场景构建相应的UML用例图，UML类图和UML序列图。</w:t>
      </w:r>
    </w:p>
    <w:p>
      <w:pPr>
        <w:rPr>
          <w:rFonts w:hint="eastAsia" w:ascii="黑体" w:hAnsi="宋体" w:eastAsia="黑体"/>
          <w:b/>
          <w:sz w:val="28"/>
          <w:szCs w:val="28"/>
          <w:lang w:eastAsia="zh-CN"/>
        </w:rPr>
      </w:pPr>
      <w:r>
        <w:rPr>
          <w:rFonts w:hint="eastAsia" w:eastAsia="黑体"/>
          <w:b/>
          <w:sz w:val="28"/>
          <w:szCs w:val="28"/>
        </w:rPr>
        <w:t>2</w:t>
      </w:r>
      <w:r>
        <w:rPr>
          <w:rFonts w:hint="eastAsia" w:eastAsia="黑体"/>
          <w:b/>
          <w:sz w:val="28"/>
          <w:szCs w:val="28"/>
          <w:lang w:val="en-US" w:eastAsia="zh-CN"/>
        </w:rPr>
        <w:t xml:space="preserve">  </w:t>
      </w:r>
      <w:r>
        <w:rPr>
          <w:rFonts w:hint="eastAsia" w:ascii="黑体" w:hAnsi="宋体" w:eastAsia="黑体"/>
          <w:b/>
          <w:sz w:val="28"/>
          <w:szCs w:val="28"/>
        </w:rPr>
        <w:t>实验步骤与分析</w:t>
      </w:r>
    </w:p>
    <w:p>
      <w:pPr>
        <w:numPr>
          <w:ilvl w:val="0"/>
          <w:numId w:val="1"/>
        </w:numPr>
        <w:spacing w:line="360" w:lineRule="auto"/>
        <w:ind w:left="-420" w:leftChars="0" w:firstLine="42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命名目标系统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将系统命名为订单处理系统。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-420" w:leftChars="0" w:firstLine="420" w:firstLineChars="0"/>
        <w:rPr>
          <w:rFonts w:hint="default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识别参与者及其关系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通过对案例描述的阅读，识别出参与者。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客户；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客户代表：特殊的客户，客户可以通过客户代表和系统进行交互，应作为客户的一种泛化；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普通客户：一种客户，没有额外特权，一年内的消费额达到指标后可以升级为黄金客户，应作为客户的一种泛化；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黄金客户：一种客户，拥有额外特权，应作为客户的一种泛化；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运输公司；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会计系统。</w:t>
      </w:r>
    </w:p>
    <w:p>
      <w:pPr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ind w:left="-420" w:leftChars="0" w:firstLine="420" w:firstLineChars="0"/>
        <w:jc w:val="both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识别用例及其关系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通过对案例描述的阅读，识别出用例。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下订单：客户通过系统选择想要的商品，提供</w:t>
      </w:r>
      <w:r>
        <w:rPr>
          <w:rFonts w:hint="default"/>
          <w:sz w:val="24"/>
          <w:szCs w:val="24"/>
          <w:lang w:val="en-US" w:eastAsia="zh-CN"/>
        </w:rPr>
        <w:t>一个发货地址、一个信用卡号和一个账单地址（如果与发货地址不同）</w:t>
      </w:r>
      <w:r>
        <w:rPr>
          <w:rFonts w:hint="eastAsia"/>
          <w:sz w:val="24"/>
          <w:szCs w:val="24"/>
          <w:lang w:val="en-US" w:eastAsia="zh-CN"/>
        </w:rPr>
        <w:t>，完成</w:t>
      </w:r>
      <w:r>
        <w:rPr>
          <w:rFonts w:hint="eastAsia" w:ascii="宋体" w:hAnsi="宋体"/>
          <w:sz w:val="24"/>
          <w:lang w:val="en-US" w:eastAsia="zh-CN"/>
        </w:rPr>
        <w:t>下订单的活动。下订单包括身份识别和提交订单。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身份识别：客户在下订单时，使用系统</w:t>
      </w:r>
      <w:r>
        <w:rPr>
          <w:rFonts w:hint="default"/>
          <w:sz w:val="24"/>
          <w:szCs w:val="24"/>
          <w:lang w:val="en-US" w:eastAsia="zh-CN"/>
        </w:rPr>
        <w:t>通过客户编号（仅适用于现有注册客户）或其姓名和地址进行身份识别</w:t>
      </w:r>
      <w:r>
        <w:rPr>
          <w:rFonts w:hint="eastAsia" w:ascii="宋体" w:hAnsi="宋体"/>
          <w:sz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提交订单：客户在下订单时，确认</w:t>
      </w:r>
      <w:r>
        <w:rPr>
          <w:rFonts w:hint="default"/>
          <w:sz w:val="24"/>
          <w:szCs w:val="24"/>
          <w:lang w:val="en-US" w:eastAsia="zh-CN"/>
        </w:rPr>
        <w:t>订购的产品和总</w:t>
      </w:r>
      <w:r>
        <w:rPr>
          <w:rFonts w:hint="eastAsia"/>
          <w:sz w:val="24"/>
          <w:szCs w:val="24"/>
          <w:lang w:val="en-US" w:eastAsia="zh-CN"/>
        </w:rPr>
        <w:t>价格，通过系统提交订单。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检查订单状态：客户使用系统检查订单状态。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退货：客户使用系统进行退货，但只能通过电话方式，而不能直接在网上完成退货。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取消现有订单：客户使用系统取消现有订单。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请求商品目录：客户使用系统</w:t>
      </w:r>
      <w:r>
        <w:rPr>
          <w:rFonts w:hint="default"/>
          <w:sz w:val="24"/>
          <w:szCs w:val="24"/>
          <w:lang w:val="en-US" w:eastAsia="zh-CN"/>
        </w:rPr>
        <w:t>通过给出产品编号或</w:t>
      </w:r>
      <w:r>
        <w:rPr>
          <w:rFonts w:hint="eastAsia"/>
          <w:sz w:val="24"/>
          <w:szCs w:val="24"/>
          <w:lang w:val="en-US" w:eastAsia="zh-CN"/>
        </w:rPr>
        <w:t>直接查看来请求商品目录。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延期订单通知：作为黄金客户，在订单延期的时候，可以使用系统得到延期订单的通知。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客户升级：作为普通客户，若</w:t>
      </w:r>
      <w:r>
        <w:rPr>
          <w:rFonts w:hint="default"/>
          <w:sz w:val="24"/>
          <w:szCs w:val="24"/>
          <w:lang w:val="en-US" w:eastAsia="zh-CN"/>
        </w:rPr>
        <w:t>在过去一年中消费超过一定金额</w:t>
      </w:r>
      <w:r>
        <w:rPr>
          <w:rFonts w:hint="eastAsia"/>
          <w:sz w:val="24"/>
          <w:szCs w:val="24"/>
          <w:lang w:val="en-US" w:eastAsia="zh-CN"/>
        </w:rPr>
        <w:t>，可以使用系统进行客户升级，</w:t>
      </w:r>
      <w:r>
        <w:rPr>
          <w:rFonts w:hint="default"/>
          <w:sz w:val="24"/>
          <w:szCs w:val="24"/>
          <w:lang w:val="en-US" w:eastAsia="zh-CN"/>
        </w:rPr>
        <w:t>提升为黄金客户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接收订单信息：用户完成下订单的操作后，运输公司和会计系统可以使用系统接收客户的订单信息。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ind w:left="-420" w:leftChars="0" w:firstLine="420" w:firstLineChars="0"/>
        <w:jc w:val="both"/>
        <w:rPr>
          <w:rFonts w:hint="default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画出订单处理系统的UML用例图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使用制图工具，画出订单处理系统的用例图。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首先使用AI工具，得出初始的用例图：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267960" cy="3387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433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267960" cy="5391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初始的用例图存在许多问题：</w:t>
      </w:r>
    </w:p>
    <w:p>
      <w:pPr>
        <w:widowControl w:val="0"/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客户应该还分为普通客户和黄金客户，不该只有客户代表一个泛化。</w:t>
      </w:r>
    </w:p>
    <w:p>
      <w:pPr>
        <w:widowControl w:val="0"/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客户升级是普通客户特有的用例，不该简单地直接与客户相关联。</w:t>
      </w:r>
    </w:p>
    <w:p>
      <w:pPr>
        <w:widowControl w:val="0"/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延期订单通知是黄金客户特有的用例，不该简单地直接与客户相关联。</w:t>
      </w:r>
    </w:p>
    <w:p>
      <w:pPr>
        <w:widowControl w:val="0"/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客户升级不应该是下订单的一个拓展用例，虽然客户升级的条件是用户下订单的总额达到指标，但客户升级并不是在客户下订单时作为一个可选操作进行的，所以应该独立出来。</w:t>
      </w:r>
    </w:p>
    <w:p>
      <w:pPr>
        <w:widowControl w:val="0"/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延期订单通知不应该是下订单的一个拓展用例，虽然延期订单通知的条件是用户下的订单出现延期，但延期订单通知并不是在客户下订单时作为一个可选操作进行的，所以应该独立出来。</w:t>
      </w:r>
    </w:p>
    <w:p>
      <w:pPr>
        <w:widowControl w:val="0"/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未识别出身份识别用例，身份识别是一个完整的用例，在用户下订单的过程中需要进行身份识别，所以应作为下订单的包含用例出现。</w:t>
      </w:r>
    </w:p>
    <w:p>
      <w:pPr>
        <w:widowControl w:val="0"/>
        <w:numPr>
          <w:ilvl w:val="0"/>
          <w:numId w:val="2"/>
        </w:numPr>
        <w:spacing w:line="360" w:lineRule="auto"/>
        <w:ind w:left="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运输公司和会计系统的用例识别错误，二者都是在用户完成下订单的操作后，使用系统接收客户的订单信息，所以应识别出一个接收订单信息的用例和二者同时关联。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rPr>
          <w:rFonts w:hint="eastAsia"/>
          <w:sz w:val="24"/>
          <w:szCs w:val="24"/>
          <w:lang w:val="en-US" w:eastAsia="zh-CN"/>
        </w:rPr>
        <w:t>对初始的UML用例图进行优化调整：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9865" cy="5539105"/>
            <wp:effectExtent l="0" t="0" r="63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1"/>
        </w:numPr>
        <w:spacing w:line="360" w:lineRule="auto"/>
        <w:ind w:left="-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画出订单处理系统的UML类图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使用制图工具，画出订单处理系统的类图。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首先使用AI工具，得出初始的类图：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690054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6690" cy="350964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问题与不足：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没有表明多重度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没有说明关联名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库存类应该依赖商品类存在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多个商品聚合成商品目录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优化后的UML类图：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1135" cy="3710940"/>
            <wp:effectExtent l="0" t="0" r="1206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1"/>
        </w:numPr>
        <w:spacing w:line="360" w:lineRule="auto"/>
        <w:ind w:left="-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画出一个用例场景的UML序列图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使用制图工具，画出订单处理系统的序列图。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首先使用AI工具，得出初始的序列图：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3902075"/>
            <wp:effectExtent l="0" t="0" r="571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4546600" cy="6216650"/>
            <wp:effectExtent l="0" t="0" r="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问题与不足：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从案例中无法识别公司的行为</w:t>
      </w:r>
    </w:p>
    <w:p>
      <w:pPr>
        <w:widowControl w:val="0"/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网站缺少给阿里的返回信息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Times New Roman"/>
          <w:sz w:val="24"/>
          <w:lang w:val="en-US" w:eastAsia="zh-CN"/>
        </w:rPr>
      </w:pPr>
      <w:r>
        <w:rPr>
          <w:rFonts w:hint="eastAsia" w:ascii="宋体" w:hAnsi="宋体" w:cs="Times New Roman"/>
          <w:sz w:val="24"/>
          <w:lang w:val="en-US" w:eastAsia="zh-CN"/>
        </w:rPr>
        <w:t>优化后的UML类图：</w:t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6184900"/>
            <wp:effectExtent l="0" t="0" r="635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750C0F"/>
    <w:multiLevelType w:val="singleLevel"/>
    <w:tmpl w:val="1B750C0F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2073C59F"/>
    <w:multiLevelType w:val="singleLevel"/>
    <w:tmpl w:val="2073C59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B32A978"/>
    <w:multiLevelType w:val="singleLevel"/>
    <w:tmpl w:val="3B32A978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75B9A8D2"/>
    <w:multiLevelType w:val="singleLevel"/>
    <w:tmpl w:val="75B9A8D2"/>
    <w:lvl w:ilvl="0" w:tentative="0">
      <w:start w:val="1"/>
      <w:numFmt w:val="decimal"/>
      <w:suff w:val="nothing"/>
      <w:lvlText w:val="（%1）"/>
      <w:lvlJc w:val="left"/>
      <w:pPr>
        <w:ind w:left="-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IyYmFjZjQ5MmE1YWQ1ODE2MDRmNWY2YjRjNTY5N2MifQ=="/>
  </w:docVars>
  <w:rsids>
    <w:rsidRoot w:val="6E697FA0"/>
    <w:rsid w:val="5E522151"/>
    <w:rsid w:val="6E69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2024-04-24T10:26:00Z</dcterms:created>
  <dc:creator>浅忘 .</dc:creator>
  <cp:lastModifiedBy>浅忘 .</cp:lastModifiedBy>
  <dcterms:modified xsi:type="dcterms:W3CDTF">2024-05-05T14:30:51Z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93E32B7AA7194E068347F92D4DEFCA6F_11</vt:lpwstr>
  </property>
</Properties>
</file>