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372BE" w14:textId="77777777" w:rsidR="00326848" w:rsidRDefault="00326848">
      <w:pPr>
        <w:rPr>
          <w:rFonts w:asciiTheme="majorHAnsi" w:hAnsiTheme="majorHAnsi"/>
          <w:b/>
          <w:bCs/>
          <w:color w:val="0070C0"/>
          <w:sz w:val="48"/>
          <w:szCs w:val="48"/>
        </w:rPr>
      </w:pPr>
    </w:p>
    <w:p w14:paraId="541438BD" w14:textId="77777777" w:rsidR="00326848" w:rsidRDefault="00326848">
      <w:pPr>
        <w:rPr>
          <w:rFonts w:asciiTheme="majorHAnsi" w:hAnsiTheme="majorHAnsi"/>
          <w:b/>
          <w:bCs/>
          <w:color w:val="0070C0"/>
          <w:sz w:val="48"/>
          <w:szCs w:val="48"/>
        </w:rPr>
      </w:pPr>
    </w:p>
    <w:p w14:paraId="5192549E" w14:textId="77777777" w:rsidR="00326848" w:rsidRDefault="00326848">
      <w:pPr>
        <w:rPr>
          <w:rFonts w:asciiTheme="majorHAnsi" w:hAnsiTheme="majorHAnsi"/>
          <w:b/>
          <w:bCs/>
          <w:color w:val="0070C0"/>
          <w:sz w:val="48"/>
          <w:szCs w:val="48"/>
        </w:rPr>
      </w:pPr>
    </w:p>
    <w:p w14:paraId="6000E79B" w14:textId="77777777" w:rsidR="00326848" w:rsidRDefault="00326848">
      <w:pPr>
        <w:rPr>
          <w:rFonts w:asciiTheme="majorHAnsi" w:hAnsiTheme="majorHAnsi"/>
          <w:b/>
          <w:bCs/>
          <w:color w:val="0070C0"/>
          <w:sz w:val="48"/>
          <w:szCs w:val="48"/>
        </w:rPr>
      </w:pPr>
    </w:p>
    <w:p w14:paraId="62E0FC82" w14:textId="77777777" w:rsidR="007C1221" w:rsidRDefault="007C1221">
      <w:pPr>
        <w:rPr>
          <w:rFonts w:asciiTheme="majorHAnsi" w:hAnsiTheme="majorHAnsi"/>
          <w:b/>
          <w:bCs/>
          <w:color w:val="0070C0"/>
          <w:sz w:val="48"/>
          <w:szCs w:val="48"/>
        </w:rPr>
      </w:pPr>
    </w:p>
    <w:p w14:paraId="450F789A" w14:textId="77777777" w:rsidR="007C1221" w:rsidRDefault="007C1221">
      <w:pPr>
        <w:rPr>
          <w:rFonts w:asciiTheme="majorHAnsi" w:hAnsiTheme="majorHAnsi"/>
          <w:b/>
          <w:bCs/>
          <w:color w:val="0070C0"/>
          <w:sz w:val="48"/>
          <w:szCs w:val="48"/>
        </w:rPr>
      </w:pPr>
    </w:p>
    <w:p w14:paraId="03F18B06" w14:textId="38F792DD" w:rsidR="00AC35A6" w:rsidRPr="006F660C" w:rsidRDefault="006F660C" w:rsidP="00326848">
      <w:pPr>
        <w:pStyle w:val="IntenseQuote"/>
        <w:rPr>
          <w:rFonts w:asciiTheme="majorHAnsi" w:hAnsiTheme="majorHAnsi"/>
          <w:b/>
          <w:bCs/>
          <w:i w:val="0"/>
          <w:iCs w:val="0"/>
          <w:color w:val="0070C0"/>
          <w:sz w:val="44"/>
          <w:szCs w:val="44"/>
        </w:rPr>
      </w:pPr>
      <w:r w:rsidRPr="006F660C">
        <w:rPr>
          <w:rFonts w:asciiTheme="majorHAnsi" w:hAnsiTheme="majorHAnsi"/>
          <w:b/>
          <w:bCs/>
          <w:i w:val="0"/>
          <w:iCs w:val="0"/>
          <w:color w:val="0070C0"/>
          <w:sz w:val="44"/>
          <w:szCs w:val="44"/>
        </w:rPr>
        <w:t>InnoVar Security Consultancy Report</w:t>
      </w:r>
    </w:p>
    <w:p w14:paraId="508E750A" w14:textId="674CB6B3" w:rsidR="00326848" w:rsidRDefault="00326848" w:rsidP="00326848">
      <w:pPr>
        <w:jc w:val="center"/>
        <w:rPr>
          <w:rFonts w:asciiTheme="majorHAnsi" w:hAnsiTheme="majorHAnsi"/>
          <w:b/>
          <w:bCs/>
          <w:color w:val="0070C0"/>
          <w:sz w:val="28"/>
          <w:szCs w:val="28"/>
        </w:rPr>
      </w:pPr>
      <w:r w:rsidRPr="00326848">
        <w:rPr>
          <w:rFonts w:asciiTheme="majorHAnsi" w:hAnsiTheme="majorHAnsi"/>
          <w:b/>
          <w:bCs/>
          <w:color w:val="0070C0"/>
          <w:sz w:val="28"/>
          <w:szCs w:val="28"/>
        </w:rPr>
        <w:t>Rory Cameron</w:t>
      </w:r>
      <w:r w:rsidR="006F660C">
        <w:rPr>
          <w:rFonts w:asciiTheme="majorHAnsi" w:hAnsiTheme="majorHAnsi"/>
          <w:b/>
          <w:bCs/>
          <w:color w:val="0070C0"/>
          <w:sz w:val="28"/>
          <w:szCs w:val="28"/>
        </w:rPr>
        <w:t xml:space="preserve">                     </w:t>
      </w:r>
      <w:r w:rsidRPr="00326848">
        <w:rPr>
          <w:rFonts w:asciiTheme="majorHAnsi" w:hAnsiTheme="majorHAnsi"/>
          <w:b/>
          <w:bCs/>
          <w:color w:val="0070C0"/>
          <w:sz w:val="28"/>
          <w:szCs w:val="28"/>
        </w:rPr>
        <w:t xml:space="preserve"> </w:t>
      </w:r>
      <w:r>
        <w:rPr>
          <w:rFonts w:asciiTheme="majorHAnsi" w:hAnsiTheme="majorHAnsi"/>
          <w:b/>
          <w:bCs/>
          <w:color w:val="0070C0"/>
          <w:sz w:val="28"/>
          <w:szCs w:val="28"/>
        </w:rPr>
        <w:t xml:space="preserve">                                    </w:t>
      </w:r>
      <w:r w:rsidRPr="00326848">
        <w:rPr>
          <w:rFonts w:asciiTheme="majorHAnsi" w:hAnsiTheme="majorHAnsi"/>
          <w:b/>
          <w:bCs/>
          <w:color w:val="0070C0"/>
          <w:sz w:val="28"/>
          <w:szCs w:val="28"/>
        </w:rPr>
        <w:t>Net Word Count:</w:t>
      </w:r>
      <w:r w:rsidR="00A861E2">
        <w:rPr>
          <w:rFonts w:asciiTheme="majorHAnsi" w:hAnsiTheme="majorHAnsi"/>
          <w:b/>
          <w:bCs/>
          <w:color w:val="0070C0"/>
          <w:sz w:val="28"/>
          <w:szCs w:val="28"/>
        </w:rPr>
        <w:t xml:space="preserve"> 2959</w:t>
      </w:r>
    </w:p>
    <w:p w14:paraId="030F3577" w14:textId="77777777" w:rsidR="001F0A34" w:rsidRDefault="001F0A34" w:rsidP="00326848">
      <w:pPr>
        <w:jc w:val="center"/>
        <w:rPr>
          <w:rFonts w:asciiTheme="majorHAnsi" w:hAnsiTheme="majorHAnsi"/>
          <w:b/>
          <w:bCs/>
          <w:color w:val="0070C0"/>
          <w:sz w:val="28"/>
          <w:szCs w:val="28"/>
        </w:rPr>
      </w:pPr>
    </w:p>
    <w:p w14:paraId="29C03396" w14:textId="77777777" w:rsidR="001F0A34" w:rsidRDefault="001F0A34" w:rsidP="00326848">
      <w:pPr>
        <w:jc w:val="center"/>
        <w:rPr>
          <w:rFonts w:asciiTheme="majorHAnsi" w:hAnsiTheme="majorHAnsi"/>
          <w:b/>
          <w:bCs/>
          <w:color w:val="0070C0"/>
          <w:sz w:val="28"/>
          <w:szCs w:val="28"/>
        </w:rPr>
      </w:pPr>
    </w:p>
    <w:p w14:paraId="6B83D0C3" w14:textId="77777777" w:rsidR="001F0A34" w:rsidRDefault="001F0A34" w:rsidP="00326848">
      <w:pPr>
        <w:jc w:val="center"/>
        <w:rPr>
          <w:rFonts w:asciiTheme="majorHAnsi" w:hAnsiTheme="majorHAnsi"/>
          <w:b/>
          <w:bCs/>
          <w:color w:val="0070C0"/>
          <w:sz w:val="28"/>
          <w:szCs w:val="28"/>
        </w:rPr>
      </w:pPr>
    </w:p>
    <w:p w14:paraId="2631DC0B" w14:textId="77777777" w:rsidR="001F0A34" w:rsidRDefault="001F0A34" w:rsidP="00326848">
      <w:pPr>
        <w:jc w:val="center"/>
        <w:rPr>
          <w:rFonts w:asciiTheme="majorHAnsi" w:hAnsiTheme="majorHAnsi"/>
          <w:b/>
          <w:bCs/>
          <w:color w:val="0070C0"/>
          <w:sz w:val="28"/>
          <w:szCs w:val="28"/>
        </w:rPr>
      </w:pPr>
    </w:p>
    <w:p w14:paraId="021159A4" w14:textId="77777777" w:rsidR="001F0A34" w:rsidRDefault="001F0A34" w:rsidP="00326848">
      <w:pPr>
        <w:jc w:val="center"/>
        <w:rPr>
          <w:rFonts w:asciiTheme="majorHAnsi" w:hAnsiTheme="majorHAnsi"/>
          <w:b/>
          <w:bCs/>
          <w:color w:val="0070C0"/>
          <w:sz w:val="28"/>
          <w:szCs w:val="28"/>
        </w:rPr>
      </w:pPr>
    </w:p>
    <w:p w14:paraId="54A5C033" w14:textId="77777777" w:rsidR="001F0A34" w:rsidRDefault="001F0A34" w:rsidP="00326848">
      <w:pPr>
        <w:jc w:val="center"/>
        <w:rPr>
          <w:rFonts w:asciiTheme="majorHAnsi" w:hAnsiTheme="majorHAnsi"/>
          <w:b/>
          <w:bCs/>
          <w:color w:val="0070C0"/>
          <w:sz w:val="28"/>
          <w:szCs w:val="28"/>
        </w:rPr>
      </w:pPr>
    </w:p>
    <w:p w14:paraId="139CD15F" w14:textId="77777777" w:rsidR="001F0A34" w:rsidRDefault="001F0A34" w:rsidP="00326848">
      <w:pPr>
        <w:jc w:val="center"/>
        <w:rPr>
          <w:rFonts w:asciiTheme="majorHAnsi" w:hAnsiTheme="majorHAnsi"/>
          <w:b/>
          <w:bCs/>
          <w:color w:val="0070C0"/>
          <w:sz w:val="28"/>
          <w:szCs w:val="28"/>
        </w:rPr>
      </w:pPr>
    </w:p>
    <w:p w14:paraId="10F38FCA" w14:textId="77777777" w:rsidR="001F0A34" w:rsidRDefault="001F0A34" w:rsidP="00326848">
      <w:pPr>
        <w:jc w:val="center"/>
        <w:rPr>
          <w:rFonts w:asciiTheme="majorHAnsi" w:hAnsiTheme="majorHAnsi"/>
          <w:b/>
          <w:bCs/>
          <w:color w:val="0070C0"/>
          <w:sz w:val="28"/>
          <w:szCs w:val="28"/>
        </w:rPr>
      </w:pPr>
    </w:p>
    <w:p w14:paraId="2CAFF0DB" w14:textId="77777777" w:rsidR="001F0A34" w:rsidRDefault="001F0A34" w:rsidP="00326848">
      <w:pPr>
        <w:jc w:val="center"/>
        <w:rPr>
          <w:rFonts w:asciiTheme="majorHAnsi" w:hAnsiTheme="majorHAnsi"/>
          <w:b/>
          <w:bCs/>
          <w:color w:val="0070C0"/>
          <w:sz w:val="28"/>
          <w:szCs w:val="28"/>
        </w:rPr>
      </w:pPr>
    </w:p>
    <w:p w14:paraId="49944A51" w14:textId="77777777" w:rsidR="001F0A34" w:rsidRDefault="001F0A34" w:rsidP="00326848">
      <w:pPr>
        <w:jc w:val="center"/>
        <w:rPr>
          <w:rFonts w:asciiTheme="majorHAnsi" w:hAnsiTheme="majorHAnsi"/>
          <w:b/>
          <w:bCs/>
          <w:color w:val="0070C0"/>
          <w:sz w:val="28"/>
          <w:szCs w:val="28"/>
        </w:rPr>
      </w:pPr>
    </w:p>
    <w:p w14:paraId="1F25013D" w14:textId="77777777" w:rsidR="001F0A34" w:rsidRDefault="001F0A34" w:rsidP="00326848">
      <w:pPr>
        <w:jc w:val="center"/>
        <w:rPr>
          <w:rFonts w:asciiTheme="majorHAnsi" w:hAnsiTheme="majorHAnsi"/>
          <w:b/>
          <w:bCs/>
          <w:color w:val="0070C0"/>
          <w:sz w:val="28"/>
          <w:szCs w:val="28"/>
        </w:rPr>
      </w:pPr>
    </w:p>
    <w:p w14:paraId="7BF755EA" w14:textId="77777777" w:rsidR="00ED73C1" w:rsidRDefault="00ED73C1" w:rsidP="00ED73C1">
      <w:pPr>
        <w:rPr>
          <w:rFonts w:asciiTheme="majorHAnsi" w:hAnsiTheme="majorHAnsi"/>
          <w:b/>
          <w:bCs/>
          <w:color w:val="0070C0"/>
          <w:sz w:val="28"/>
          <w:szCs w:val="28"/>
        </w:rPr>
      </w:pPr>
    </w:p>
    <w:sdt>
      <w:sdtPr>
        <w:rPr>
          <w:rFonts w:asciiTheme="minorHAnsi" w:eastAsiaTheme="minorHAnsi" w:hAnsiTheme="minorHAnsi" w:cstheme="minorBidi"/>
          <w:color w:val="auto"/>
          <w:kern w:val="2"/>
          <w:sz w:val="24"/>
          <w:szCs w:val="24"/>
          <w:lang w:eastAsia="en-US"/>
          <w14:ligatures w14:val="standardContextual"/>
        </w:rPr>
        <w:id w:val="-2073962123"/>
        <w:docPartObj>
          <w:docPartGallery w:val="Table of Contents"/>
          <w:docPartUnique/>
        </w:docPartObj>
      </w:sdtPr>
      <w:sdtEndPr>
        <w:rPr>
          <w:b/>
          <w:bCs/>
        </w:rPr>
      </w:sdtEndPr>
      <w:sdtContent>
        <w:p w14:paraId="20DB3A11" w14:textId="12CC499E" w:rsidR="005C3831" w:rsidRPr="00AD0C9D" w:rsidRDefault="005C3831">
          <w:pPr>
            <w:pStyle w:val="TOCHeading"/>
            <w:rPr>
              <w:color w:val="0070C0"/>
            </w:rPr>
          </w:pPr>
          <w:r w:rsidRPr="00AD0C9D">
            <w:rPr>
              <w:color w:val="0070C0"/>
            </w:rPr>
            <w:t>Contents</w:t>
          </w:r>
        </w:p>
        <w:p w14:paraId="4A08BB99" w14:textId="5989ED63" w:rsidR="00A861E2" w:rsidRDefault="005C383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690937" w:history="1">
            <w:r w:rsidR="00A861E2" w:rsidRPr="006A61AE">
              <w:rPr>
                <w:rStyle w:val="Hyperlink"/>
                <w:noProof/>
              </w:rPr>
              <w:t>Executive Summary</w:t>
            </w:r>
            <w:r w:rsidR="00A861E2">
              <w:rPr>
                <w:noProof/>
                <w:webHidden/>
              </w:rPr>
              <w:tab/>
            </w:r>
            <w:r w:rsidR="00A861E2">
              <w:rPr>
                <w:noProof/>
                <w:webHidden/>
              </w:rPr>
              <w:fldChar w:fldCharType="begin"/>
            </w:r>
            <w:r w:rsidR="00A861E2">
              <w:rPr>
                <w:noProof/>
                <w:webHidden/>
              </w:rPr>
              <w:instrText xml:space="preserve"> PAGEREF _Toc183690937 \h </w:instrText>
            </w:r>
            <w:r w:rsidR="00A861E2">
              <w:rPr>
                <w:noProof/>
                <w:webHidden/>
              </w:rPr>
            </w:r>
            <w:r w:rsidR="00A861E2">
              <w:rPr>
                <w:noProof/>
                <w:webHidden/>
              </w:rPr>
              <w:fldChar w:fldCharType="separate"/>
            </w:r>
            <w:r w:rsidR="00D35B2B">
              <w:rPr>
                <w:noProof/>
                <w:webHidden/>
              </w:rPr>
              <w:t>3</w:t>
            </w:r>
            <w:r w:rsidR="00A861E2">
              <w:rPr>
                <w:noProof/>
                <w:webHidden/>
              </w:rPr>
              <w:fldChar w:fldCharType="end"/>
            </w:r>
          </w:hyperlink>
        </w:p>
        <w:p w14:paraId="4C11B586" w14:textId="06ABBF2A" w:rsidR="00A861E2" w:rsidRDefault="00A861E2">
          <w:pPr>
            <w:pStyle w:val="TOC1"/>
            <w:tabs>
              <w:tab w:val="right" w:leader="dot" w:pos="9016"/>
            </w:tabs>
            <w:rPr>
              <w:rFonts w:eastAsiaTheme="minorEastAsia"/>
              <w:noProof/>
              <w:lang w:eastAsia="en-GB"/>
            </w:rPr>
          </w:pPr>
          <w:hyperlink w:anchor="_Toc183690938" w:history="1">
            <w:r w:rsidRPr="006A61AE">
              <w:rPr>
                <w:rStyle w:val="Hyperlink"/>
                <w:noProof/>
              </w:rPr>
              <w:t>Risk Analysis</w:t>
            </w:r>
            <w:r>
              <w:rPr>
                <w:noProof/>
                <w:webHidden/>
              </w:rPr>
              <w:tab/>
            </w:r>
            <w:r>
              <w:rPr>
                <w:noProof/>
                <w:webHidden/>
              </w:rPr>
              <w:fldChar w:fldCharType="begin"/>
            </w:r>
            <w:r>
              <w:rPr>
                <w:noProof/>
                <w:webHidden/>
              </w:rPr>
              <w:instrText xml:space="preserve"> PAGEREF _Toc183690938 \h </w:instrText>
            </w:r>
            <w:r>
              <w:rPr>
                <w:noProof/>
                <w:webHidden/>
              </w:rPr>
            </w:r>
            <w:r>
              <w:rPr>
                <w:noProof/>
                <w:webHidden/>
              </w:rPr>
              <w:fldChar w:fldCharType="separate"/>
            </w:r>
            <w:r w:rsidR="00D35B2B">
              <w:rPr>
                <w:noProof/>
                <w:webHidden/>
              </w:rPr>
              <w:t>3</w:t>
            </w:r>
            <w:r>
              <w:rPr>
                <w:noProof/>
                <w:webHidden/>
              </w:rPr>
              <w:fldChar w:fldCharType="end"/>
            </w:r>
          </w:hyperlink>
        </w:p>
        <w:p w14:paraId="5E6DA075" w14:textId="4C3D7F5E" w:rsidR="00A861E2" w:rsidRDefault="00A861E2">
          <w:pPr>
            <w:pStyle w:val="TOC2"/>
            <w:tabs>
              <w:tab w:val="right" w:leader="dot" w:pos="9016"/>
            </w:tabs>
            <w:rPr>
              <w:rFonts w:eastAsiaTheme="minorEastAsia"/>
              <w:noProof/>
              <w:lang w:eastAsia="en-GB"/>
            </w:rPr>
          </w:pPr>
          <w:hyperlink w:anchor="_Toc183690939" w:history="1">
            <w:r w:rsidRPr="006A61AE">
              <w:rPr>
                <w:rStyle w:val="Hyperlink"/>
                <w:noProof/>
              </w:rPr>
              <w:t>Risk Register Metrics</w:t>
            </w:r>
            <w:r>
              <w:rPr>
                <w:noProof/>
                <w:webHidden/>
              </w:rPr>
              <w:tab/>
            </w:r>
            <w:r>
              <w:rPr>
                <w:noProof/>
                <w:webHidden/>
              </w:rPr>
              <w:fldChar w:fldCharType="begin"/>
            </w:r>
            <w:r>
              <w:rPr>
                <w:noProof/>
                <w:webHidden/>
              </w:rPr>
              <w:instrText xml:space="preserve"> PAGEREF _Toc183690939 \h </w:instrText>
            </w:r>
            <w:r>
              <w:rPr>
                <w:noProof/>
                <w:webHidden/>
              </w:rPr>
            </w:r>
            <w:r>
              <w:rPr>
                <w:noProof/>
                <w:webHidden/>
              </w:rPr>
              <w:fldChar w:fldCharType="separate"/>
            </w:r>
            <w:r w:rsidR="00D35B2B">
              <w:rPr>
                <w:noProof/>
                <w:webHidden/>
              </w:rPr>
              <w:t>3</w:t>
            </w:r>
            <w:r>
              <w:rPr>
                <w:noProof/>
                <w:webHidden/>
              </w:rPr>
              <w:fldChar w:fldCharType="end"/>
            </w:r>
          </w:hyperlink>
        </w:p>
        <w:p w14:paraId="2EB18CFC" w14:textId="75705D60" w:rsidR="00A861E2" w:rsidRDefault="00A861E2">
          <w:pPr>
            <w:pStyle w:val="TOC2"/>
            <w:tabs>
              <w:tab w:val="right" w:leader="dot" w:pos="9016"/>
            </w:tabs>
            <w:rPr>
              <w:rFonts w:eastAsiaTheme="minorEastAsia"/>
              <w:noProof/>
              <w:lang w:eastAsia="en-GB"/>
            </w:rPr>
          </w:pPr>
          <w:hyperlink w:anchor="_Toc183690940" w:history="1">
            <w:r w:rsidRPr="006A61AE">
              <w:rPr>
                <w:rStyle w:val="Hyperlink"/>
                <w:noProof/>
              </w:rPr>
              <w:t>Assets</w:t>
            </w:r>
            <w:r>
              <w:rPr>
                <w:noProof/>
                <w:webHidden/>
              </w:rPr>
              <w:tab/>
            </w:r>
            <w:r>
              <w:rPr>
                <w:noProof/>
                <w:webHidden/>
              </w:rPr>
              <w:fldChar w:fldCharType="begin"/>
            </w:r>
            <w:r>
              <w:rPr>
                <w:noProof/>
                <w:webHidden/>
              </w:rPr>
              <w:instrText xml:space="preserve"> PAGEREF _Toc183690940 \h </w:instrText>
            </w:r>
            <w:r>
              <w:rPr>
                <w:noProof/>
                <w:webHidden/>
              </w:rPr>
            </w:r>
            <w:r>
              <w:rPr>
                <w:noProof/>
                <w:webHidden/>
              </w:rPr>
              <w:fldChar w:fldCharType="separate"/>
            </w:r>
            <w:r w:rsidR="00D35B2B">
              <w:rPr>
                <w:noProof/>
                <w:webHidden/>
              </w:rPr>
              <w:t>6</w:t>
            </w:r>
            <w:r>
              <w:rPr>
                <w:noProof/>
                <w:webHidden/>
              </w:rPr>
              <w:fldChar w:fldCharType="end"/>
            </w:r>
          </w:hyperlink>
        </w:p>
        <w:p w14:paraId="6C7A6946" w14:textId="10325D0D" w:rsidR="00A861E2" w:rsidRDefault="00A861E2">
          <w:pPr>
            <w:pStyle w:val="TOC2"/>
            <w:tabs>
              <w:tab w:val="right" w:leader="dot" w:pos="9016"/>
            </w:tabs>
            <w:rPr>
              <w:rFonts w:eastAsiaTheme="minorEastAsia"/>
              <w:noProof/>
              <w:lang w:eastAsia="en-GB"/>
            </w:rPr>
          </w:pPr>
          <w:hyperlink w:anchor="_Toc183690941" w:history="1">
            <w:r w:rsidRPr="006A61AE">
              <w:rPr>
                <w:rStyle w:val="Hyperlink"/>
                <w:noProof/>
              </w:rPr>
              <w:t>Risks &amp; Vulnerabilities</w:t>
            </w:r>
            <w:r>
              <w:rPr>
                <w:noProof/>
                <w:webHidden/>
              </w:rPr>
              <w:tab/>
            </w:r>
            <w:r>
              <w:rPr>
                <w:noProof/>
                <w:webHidden/>
              </w:rPr>
              <w:fldChar w:fldCharType="begin"/>
            </w:r>
            <w:r>
              <w:rPr>
                <w:noProof/>
                <w:webHidden/>
              </w:rPr>
              <w:instrText xml:space="preserve"> PAGEREF _Toc183690941 \h </w:instrText>
            </w:r>
            <w:r>
              <w:rPr>
                <w:noProof/>
                <w:webHidden/>
              </w:rPr>
            </w:r>
            <w:r>
              <w:rPr>
                <w:noProof/>
                <w:webHidden/>
              </w:rPr>
              <w:fldChar w:fldCharType="separate"/>
            </w:r>
            <w:r w:rsidR="00D35B2B">
              <w:rPr>
                <w:noProof/>
                <w:webHidden/>
              </w:rPr>
              <w:t>8</w:t>
            </w:r>
            <w:r>
              <w:rPr>
                <w:noProof/>
                <w:webHidden/>
              </w:rPr>
              <w:fldChar w:fldCharType="end"/>
            </w:r>
          </w:hyperlink>
        </w:p>
        <w:p w14:paraId="2F259871" w14:textId="6813289B" w:rsidR="00A861E2" w:rsidRDefault="00A861E2">
          <w:pPr>
            <w:pStyle w:val="TOC1"/>
            <w:tabs>
              <w:tab w:val="right" w:leader="dot" w:pos="9016"/>
            </w:tabs>
            <w:rPr>
              <w:rFonts w:eastAsiaTheme="minorEastAsia"/>
              <w:noProof/>
              <w:lang w:eastAsia="en-GB"/>
            </w:rPr>
          </w:pPr>
          <w:hyperlink w:anchor="_Toc183690942" w:history="1">
            <w:r w:rsidRPr="006A61AE">
              <w:rPr>
                <w:rStyle w:val="Hyperlink"/>
                <w:noProof/>
              </w:rPr>
              <w:t>Gap Analysis</w:t>
            </w:r>
            <w:r>
              <w:rPr>
                <w:noProof/>
                <w:webHidden/>
              </w:rPr>
              <w:tab/>
            </w:r>
            <w:r>
              <w:rPr>
                <w:noProof/>
                <w:webHidden/>
              </w:rPr>
              <w:fldChar w:fldCharType="begin"/>
            </w:r>
            <w:r>
              <w:rPr>
                <w:noProof/>
                <w:webHidden/>
              </w:rPr>
              <w:instrText xml:space="preserve"> PAGEREF _Toc183690942 \h </w:instrText>
            </w:r>
            <w:r>
              <w:rPr>
                <w:noProof/>
                <w:webHidden/>
              </w:rPr>
            </w:r>
            <w:r>
              <w:rPr>
                <w:noProof/>
                <w:webHidden/>
              </w:rPr>
              <w:fldChar w:fldCharType="separate"/>
            </w:r>
            <w:r w:rsidR="00D35B2B">
              <w:rPr>
                <w:noProof/>
                <w:webHidden/>
              </w:rPr>
              <w:t>12</w:t>
            </w:r>
            <w:r>
              <w:rPr>
                <w:noProof/>
                <w:webHidden/>
              </w:rPr>
              <w:fldChar w:fldCharType="end"/>
            </w:r>
          </w:hyperlink>
        </w:p>
        <w:p w14:paraId="50560430" w14:textId="0B04F270" w:rsidR="00A861E2" w:rsidRDefault="00A861E2">
          <w:pPr>
            <w:pStyle w:val="TOC1"/>
            <w:tabs>
              <w:tab w:val="right" w:leader="dot" w:pos="9016"/>
            </w:tabs>
            <w:rPr>
              <w:rFonts w:eastAsiaTheme="minorEastAsia"/>
              <w:noProof/>
              <w:lang w:eastAsia="en-GB"/>
            </w:rPr>
          </w:pPr>
          <w:hyperlink w:anchor="_Toc183690943" w:history="1">
            <w:r w:rsidRPr="006A61AE">
              <w:rPr>
                <w:rStyle w:val="Hyperlink"/>
                <w:noProof/>
              </w:rPr>
              <w:t>Security Programme</w:t>
            </w:r>
            <w:r>
              <w:rPr>
                <w:noProof/>
                <w:webHidden/>
              </w:rPr>
              <w:tab/>
            </w:r>
            <w:r>
              <w:rPr>
                <w:noProof/>
                <w:webHidden/>
              </w:rPr>
              <w:fldChar w:fldCharType="begin"/>
            </w:r>
            <w:r>
              <w:rPr>
                <w:noProof/>
                <w:webHidden/>
              </w:rPr>
              <w:instrText xml:space="preserve"> PAGEREF _Toc183690943 \h </w:instrText>
            </w:r>
            <w:r>
              <w:rPr>
                <w:noProof/>
                <w:webHidden/>
              </w:rPr>
            </w:r>
            <w:r>
              <w:rPr>
                <w:noProof/>
                <w:webHidden/>
              </w:rPr>
              <w:fldChar w:fldCharType="separate"/>
            </w:r>
            <w:r w:rsidR="00D35B2B">
              <w:rPr>
                <w:noProof/>
                <w:webHidden/>
              </w:rPr>
              <w:t>19</w:t>
            </w:r>
            <w:r>
              <w:rPr>
                <w:noProof/>
                <w:webHidden/>
              </w:rPr>
              <w:fldChar w:fldCharType="end"/>
            </w:r>
          </w:hyperlink>
        </w:p>
        <w:p w14:paraId="0EEB76D0" w14:textId="3260D80D" w:rsidR="00A861E2" w:rsidRDefault="00A861E2">
          <w:pPr>
            <w:pStyle w:val="TOC1"/>
            <w:tabs>
              <w:tab w:val="right" w:leader="dot" w:pos="9016"/>
            </w:tabs>
            <w:rPr>
              <w:rFonts w:eastAsiaTheme="minorEastAsia"/>
              <w:noProof/>
              <w:lang w:eastAsia="en-GB"/>
            </w:rPr>
          </w:pPr>
          <w:hyperlink w:anchor="_Toc183690944" w:history="1">
            <w:r w:rsidRPr="006A61AE">
              <w:rPr>
                <w:rStyle w:val="Hyperlink"/>
                <w:noProof/>
              </w:rPr>
              <w:t>References</w:t>
            </w:r>
            <w:r>
              <w:rPr>
                <w:noProof/>
                <w:webHidden/>
              </w:rPr>
              <w:tab/>
            </w:r>
            <w:r>
              <w:rPr>
                <w:noProof/>
                <w:webHidden/>
              </w:rPr>
              <w:fldChar w:fldCharType="begin"/>
            </w:r>
            <w:r>
              <w:rPr>
                <w:noProof/>
                <w:webHidden/>
              </w:rPr>
              <w:instrText xml:space="preserve"> PAGEREF _Toc183690944 \h </w:instrText>
            </w:r>
            <w:r>
              <w:rPr>
                <w:noProof/>
                <w:webHidden/>
              </w:rPr>
            </w:r>
            <w:r>
              <w:rPr>
                <w:noProof/>
                <w:webHidden/>
              </w:rPr>
              <w:fldChar w:fldCharType="separate"/>
            </w:r>
            <w:r w:rsidR="00D35B2B">
              <w:rPr>
                <w:noProof/>
                <w:webHidden/>
              </w:rPr>
              <w:t>20</w:t>
            </w:r>
            <w:r>
              <w:rPr>
                <w:noProof/>
                <w:webHidden/>
              </w:rPr>
              <w:fldChar w:fldCharType="end"/>
            </w:r>
          </w:hyperlink>
        </w:p>
        <w:p w14:paraId="154F52B4" w14:textId="7A39C713" w:rsidR="005C3831" w:rsidRDefault="005C3831">
          <w:r>
            <w:rPr>
              <w:b/>
              <w:bCs/>
            </w:rPr>
            <w:fldChar w:fldCharType="end"/>
          </w:r>
        </w:p>
      </w:sdtContent>
    </w:sdt>
    <w:p w14:paraId="78F2BD2B" w14:textId="2EB5C732" w:rsidR="00FF728F" w:rsidRDefault="00FF728F" w:rsidP="001F0A34">
      <w:pPr>
        <w:rPr>
          <w:rFonts w:asciiTheme="majorHAnsi" w:hAnsiTheme="majorHAnsi"/>
          <w:color w:val="0070C0"/>
          <w:sz w:val="32"/>
          <w:szCs w:val="32"/>
        </w:rPr>
      </w:pPr>
    </w:p>
    <w:p w14:paraId="0C5213AB" w14:textId="77777777" w:rsidR="008B51F2" w:rsidRDefault="008B51F2" w:rsidP="001F0A34">
      <w:pPr>
        <w:rPr>
          <w:rFonts w:asciiTheme="majorHAnsi" w:hAnsiTheme="majorHAnsi"/>
          <w:color w:val="0070C0"/>
          <w:sz w:val="32"/>
          <w:szCs w:val="32"/>
        </w:rPr>
      </w:pPr>
    </w:p>
    <w:p w14:paraId="2A29225D" w14:textId="77777777" w:rsidR="008B51F2" w:rsidRDefault="008B51F2" w:rsidP="001F0A34">
      <w:pPr>
        <w:rPr>
          <w:rFonts w:asciiTheme="majorHAnsi" w:hAnsiTheme="majorHAnsi"/>
          <w:color w:val="0070C0"/>
          <w:sz w:val="32"/>
          <w:szCs w:val="32"/>
        </w:rPr>
      </w:pPr>
    </w:p>
    <w:p w14:paraId="5029DC03" w14:textId="77777777" w:rsidR="008B51F2" w:rsidRDefault="008B51F2" w:rsidP="001F0A34">
      <w:pPr>
        <w:rPr>
          <w:rFonts w:asciiTheme="majorHAnsi" w:hAnsiTheme="majorHAnsi"/>
          <w:color w:val="0070C0"/>
          <w:sz w:val="32"/>
          <w:szCs w:val="32"/>
        </w:rPr>
      </w:pPr>
    </w:p>
    <w:p w14:paraId="0EF659CE" w14:textId="77777777" w:rsidR="008B51F2" w:rsidRDefault="008B51F2" w:rsidP="001F0A34">
      <w:pPr>
        <w:rPr>
          <w:rFonts w:asciiTheme="majorHAnsi" w:hAnsiTheme="majorHAnsi"/>
          <w:color w:val="0070C0"/>
          <w:sz w:val="32"/>
          <w:szCs w:val="32"/>
        </w:rPr>
      </w:pPr>
    </w:p>
    <w:p w14:paraId="13062764" w14:textId="77777777" w:rsidR="008B51F2" w:rsidRDefault="008B51F2" w:rsidP="001F0A34">
      <w:pPr>
        <w:rPr>
          <w:rFonts w:asciiTheme="majorHAnsi" w:hAnsiTheme="majorHAnsi"/>
          <w:color w:val="0070C0"/>
          <w:sz w:val="32"/>
          <w:szCs w:val="32"/>
        </w:rPr>
      </w:pPr>
    </w:p>
    <w:p w14:paraId="24E1B79B" w14:textId="77777777" w:rsidR="008B51F2" w:rsidRDefault="008B51F2" w:rsidP="001F0A34">
      <w:pPr>
        <w:rPr>
          <w:rFonts w:asciiTheme="majorHAnsi" w:hAnsiTheme="majorHAnsi"/>
          <w:color w:val="0070C0"/>
          <w:sz w:val="32"/>
          <w:szCs w:val="32"/>
        </w:rPr>
      </w:pPr>
    </w:p>
    <w:p w14:paraId="2E9BC0F3" w14:textId="77777777" w:rsidR="008B51F2" w:rsidRDefault="008B51F2" w:rsidP="001F0A34">
      <w:pPr>
        <w:rPr>
          <w:rFonts w:asciiTheme="majorHAnsi" w:hAnsiTheme="majorHAnsi"/>
          <w:color w:val="0070C0"/>
          <w:sz w:val="32"/>
          <w:szCs w:val="32"/>
        </w:rPr>
      </w:pPr>
    </w:p>
    <w:p w14:paraId="4C4AF14B" w14:textId="77777777" w:rsidR="008B51F2" w:rsidRDefault="008B51F2" w:rsidP="001F0A34">
      <w:pPr>
        <w:rPr>
          <w:rFonts w:asciiTheme="majorHAnsi" w:hAnsiTheme="majorHAnsi"/>
          <w:color w:val="0070C0"/>
          <w:sz w:val="32"/>
          <w:szCs w:val="32"/>
        </w:rPr>
      </w:pPr>
    </w:p>
    <w:p w14:paraId="04D599BE" w14:textId="77777777" w:rsidR="008B51F2" w:rsidRDefault="008B51F2" w:rsidP="001F0A34">
      <w:pPr>
        <w:rPr>
          <w:rFonts w:asciiTheme="majorHAnsi" w:hAnsiTheme="majorHAnsi"/>
          <w:color w:val="0070C0"/>
          <w:sz w:val="32"/>
          <w:szCs w:val="32"/>
        </w:rPr>
      </w:pPr>
    </w:p>
    <w:p w14:paraId="35CC160A" w14:textId="77777777" w:rsidR="008B51F2" w:rsidRDefault="008B51F2" w:rsidP="001F0A34">
      <w:pPr>
        <w:rPr>
          <w:rFonts w:asciiTheme="majorHAnsi" w:hAnsiTheme="majorHAnsi"/>
          <w:color w:val="0070C0"/>
          <w:sz w:val="32"/>
          <w:szCs w:val="32"/>
        </w:rPr>
      </w:pPr>
    </w:p>
    <w:p w14:paraId="7F6FB4F4" w14:textId="77777777" w:rsidR="008B51F2" w:rsidRDefault="008B51F2" w:rsidP="001F0A34">
      <w:pPr>
        <w:rPr>
          <w:rFonts w:asciiTheme="majorHAnsi" w:hAnsiTheme="majorHAnsi"/>
          <w:color w:val="0070C0"/>
          <w:sz w:val="32"/>
          <w:szCs w:val="32"/>
        </w:rPr>
      </w:pPr>
    </w:p>
    <w:p w14:paraId="61BB314E" w14:textId="77777777" w:rsidR="008B51F2" w:rsidRDefault="008B51F2" w:rsidP="001F0A34">
      <w:pPr>
        <w:rPr>
          <w:rFonts w:asciiTheme="majorHAnsi" w:hAnsiTheme="majorHAnsi"/>
          <w:color w:val="0070C0"/>
          <w:sz w:val="32"/>
          <w:szCs w:val="32"/>
        </w:rPr>
      </w:pPr>
    </w:p>
    <w:p w14:paraId="1A1CF3E3" w14:textId="77777777" w:rsidR="00D527F2" w:rsidRDefault="00D527F2" w:rsidP="001F0A34">
      <w:pPr>
        <w:rPr>
          <w:rFonts w:asciiTheme="majorHAnsi" w:hAnsiTheme="majorHAnsi"/>
          <w:color w:val="0070C0"/>
          <w:sz w:val="32"/>
          <w:szCs w:val="32"/>
        </w:rPr>
      </w:pPr>
    </w:p>
    <w:p w14:paraId="47162E62" w14:textId="77777777" w:rsidR="00E7732B" w:rsidRDefault="00E7732B" w:rsidP="001F0A34">
      <w:pPr>
        <w:rPr>
          <w:rFonts w:asciiTheme="majorHAnsi" w:hAnsiTheme="majorHAnsi"/>
          <w:color w:val="0070C0"/>
          <w:sz w:val="32"/>
          <w:szCs w:val="32"/>
        </w:rPr>
      </w:pPr>
    </w:p>
    <w:p w14:paraId="176D6891" w14:textId="67F8038A" w:rsidR="00FD2590" w:rsidRPr="00A70F06" w:rsidRDefault="00FD2590" w:rsidP="00FD2590">
      <w:pPr>
        <w:pStyle w:val="Heading1"/>
        <w:rPr>
          <w:color w:val="0070C0"/>
        </w:rPr>
      </w:pPr>
      <w:bookmarkStart w:id="0" w:name="_Toc183690937"/>
      <w:r w:rsidRPr="00A70F06">
        <w:rPr>
          <w:color w:val="0070C0"/>
        </w:rPr>
        <w:lastRenderedPageBreak/>
        <w:t>Executive Summary</w:t>
      </w:r>
      <w:bookmarkEnd w:id="0"/>
    </w:p>
    <w:p w14:paraId="3D2BD6C0" w14:textId="77777777" w:rsidR="000C22F2" w:rsidRPr="000C22F2" w:rsidRDefault="000C22F2" w:rsidP="000C22F2">
      <w:r w:rsidRPr="000C22F2">
        <w:t>Established in 2016, InnoVAR is a large engineering company specialising in the development of Virtual and Augmented Reality services for several industries, including energy, construction, and government agencies such as the UK’s Ministry of Defence (MOD).</w:t>
      </w:r>
    </w:p>
    <w:p w14:paraId="55DA5EDD" w14:textId="77777777" w:rsidR="000C22F2" w:rsidRPr="000C22F2" w:rsidRDefault="000C22F2" w:rsidP="000C22F2">
      <w:r w:rsidRPr="000C22F2">
        <w:t>To continue bidding for future contracts, the MOD has stipulated that InnoVAR must obtain a Cyber Essentials Certification from the National Cyber Security Centre (NCSC) and align its security programme with the ISO/IEC 27001 standard.</w:t>
      </w:r>
    </w:p>
    <w:p w14:paraId="6E6E8D6A" w14:textId="0A65CEB6" w:rsidR="000C22F2" w:rsidRDefault="000C22F2" w:rsidP="000C22F2">
      <w:r w:rsidRPr="000C22F2">
        <w:t>This report contains an analysis of the risks faced by InnoVAR, including a risk register outlining assets, vulnerabilities, threats, and risks derived from the provided case study. The report also includes a gap analysis of InnoVAR’s current security practices against the ISO/IEC 27001:2022 standard. Finally, a comprehensive security programme addressing the identified risks and gaps is provided. This programme is summarised in the report, outlining a one-year plan to achieve the NCSC Cyber Essentials Certification and align with the ISO/IEC 27001</w:t>
      </w:r>
      <w:r w:rsidR="00027FD8">
        <w:t>:2022</w:t>
      </w:r>
      <w:r w:rsidRPr="000C22F2">
        <w:t xml:space="preserve"> standard.</w:t>
      </w:r>
    </w:p>
    <w:p w14:paraId="04730F69" w14:textId="10D6164F" w:rsidR="005161A4" w:rsidRPr="005161A4" w:rsidRDefault="00A51F55" w:rsidP="005161A4">
      <w:pPr>
        <w:pStyle w:val="Heading1"/>
        <w:rPr>
          <w:color w:val="0070C0"/>
        </w:rPr>
      </w:pPr>
      <w:bookmarkStart w:id="1" w:name="_Toc183690938"/>
      <w:r w:rsidRPr="00A70F06">
        <w:rPr>
          <w:color w:val="0070C0"/>
        </w:rPr>
        <w:t>Risk Analysis</w:t>
      </w:r>
      <w:bookmarkEnd w:id="1"/>
    </w:p>
    <w:p w14:paraId="6D05E581" w14:textId="31994F8D" w:rsidR="00E92818" w:rsidRPr="00E92818" w:rsidRDefault="00E92818" w:rsidP="005161A4">
      <w:r>
        <w:t>Due to onl</w:t>
      </w:r>
      <w:r w:rsidR="00302A1F">
        <w:t>y having access to a InnoVAR case study, there may be assets</w:t>
      </w:r>
      <w:r w:rsidR="0099601F">
        <w:t xml:space="preserve"> not listed in the risk register, as well as any corresponding vulnerabilities of these assets. Furthermore, due to the limited technical information within the case study, there may be vulnerabilities that ar</w:t>
      </w:r>
      <w:r w:rsidR="00DB01A7">
        <w:t>e not listed for known assets, or vulnerabilities that are already mitigated</w:t>
      </w:r>
      <w:r w:rsidR="00CF6D2D">
        <w:t>.</w:t>
      </w:r>
    </w:p>
    <w:p w14:paraId="52481A65" w14:textId="064DFDAC" w:rsidR="00F57F4E" w:rsidRDefault="00A70F06" w:rsidP="00F57F4E">
      <w:pPr>
        <w:pStyle w:val="Heading2"/>
        <w:rPr>
          <w:color w:val="0070C0"/>
        </w:rPr>
      </w:pPr>
      <w:bookmarkStart w:id="2" w:name="_Toc183690939"/>
      <w:r w:rsidRPr="00FC4718">
        <w:rPr>
          <w:color w:val="0070C0"/>
        </w:rPr>
        <w:t>Risk Register</w:t>
      </w:r>
      <w:r w:rsidR="00FC4718" w:rsidRPr="00FC4718">
        <w:rPr>
          <w:color w:val="0070C0"/>
        </w:rPr>
        <w:t xml:space="preserve"> Metrics</w:t>
      </w:r>
      <w:bookmarkEnd w:id="2"/>
    </w:p>
    <w:p w14:paraId="1D603873" w14:textId="77777777" w:rsidR="00491C06" w:rsidRDefault="00A94192" w:rsidP="00491C06">
      <w:r>
        <w:t>A Risk Register was created based on the provided case study, detailing</w:t>
      </w:r>
      <w:r w:rsidR="009A4031">
        <w:t xml:space="preserve"> the risks InnoVAR faces, as well as the associated assets, vulnerabilities and threats</w:t>
      </w:r>
      <w:r w:rsidR="00885233">
        <w:t xml:space="preserve"> of each ris</w:t>
      </w:r>
      <w:r w:rsidR="00857BE7">
        <w:t xml:space="preserve">k. The layout of the Risk </w:t>
      </w:r>
      <w:r w:rsidR="000C541F">
        <w:t>Register is as</w:t>
      </w:r>
      <w:r w:rsidR="00857BE7">
        <w:t xml:space="preserve"> follows:</w:t>
      </w:r>
    </w:p>
    <w:p w14:paraId="7D499F25" w14:textId="1327D730" w:rsidR="00572A3A" w:rsidRPr="00111671" w:rsidRDefault="00572A3A" w:rsidP="00111671">
      <w:pPr>
        <w:pStyle w:val="Subtitle"/>
        <w:rPr>
          <w:color w:val="0070C0"/>
        </w:rPr>
      </w:pPr>
      <w:r w:rsidRPr="00111671">
        <w:rPr>
          <w:color w:val="0070C0"/>
        </w:rPr>
        <w:t>Risk ID</w:t>
      </w:r>
    </w:p>
    <w:p w14:paraId="7866E996" w14:textId="470D1CEE" w:rsidR="003627E6" w:rsidRPr="003627E6" w:rsidRDefault="003627E6" w:rsidP="002628B6">
      <w:r>
        <w:t>Identification of Risk</w:t>
      </w:r>
    </w:p>
    <w:p w14:paraId="64E12BA0" w14:textId="574DCD43" w:rsidR="00572A3A" w:rsidRPr="00111671" w:rsidRDefault="00572A3A" w:rsidP="00111671">
      <w:pPr>
        <w:pStyle w:val="Subtitle"/>
        <w:rPr>
          <w:color w:val="0070C0"/>
        </w:rPr>
      </w:pPr>
      <w:r w:rsidRPr="00111671">
        <w:rPr>
          <w:color w:val="0070C0"/>
        </w:rPr>
        <w:t>Asset</w:t>
      </w:r>
    </w:p>
    <w:p w14:paraId="46D3E915" w14:textId="374E5634" w:rsidR="00D45DCA" w:rsidRPr="00190DA4" w:rsidRDefault="00190DA4" w:rsidP="00BC445C">
      <w:pPr>
        <w:tabs>
          <w:tab w:val="left" w:pos="1440"/>
        </w:tabs>
      </w:pPr>
      <w:r>
        <w:t>Valuable resource attempting to protect</w:t>
      </w:r>
    </w:p>
    <w:p w14:paraId="4F7094DC" w14:textId="5D58971E" w:rsidR="00F36914" w:rsidRPr="00111671" w:rsidRDefault="00572A3A" w:rsidP="00111671">
      <w:pPr>
        <w:pStyle w:val="Subtitle"/>
        <w:rPr>
          <w:color w:val="0070C0"/>
        </w:rPr>
      </w:pPr>
      <w:r w:rsidRPr="00111671">
        <w:rPr>
          <w:color w:val="0070C0"/>
        </w:rPr>
        <w:t>Asset Value</w:t>
      </w:r>
    </w:p>
    <w:p w14:paraId="1BC3ECBE" w14:textId="77777777" w:rsidR="002039BB" w:rsidRDefault="00EC2EB4" w:rsidP="002039BB">
      <w:pPr>
        <w:keepNext/>
      </w:pPr>
      <w:r>
        <w:rPr>
          <w:noProof/>
        </w:rPr>
        <w:lastRenderedPageBreak/>
        <w:drawing>
          <wp:inline distT="0" distB="0" distL="0" distR="0" wp14:anchorId="3582E780" wp14:editId="1BABC138">
            <wp:extent cx="3152775" cy="1343025"/>
            <wp:effectExtent l="0" t="0" r="9525" b="9525"/>
            <wp:docPr id="348394066"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94066" name="Picture 1" descr="A table with text on it&#10;&#10;Description automatically generated"/>
                    <pic:cNvPicPr/>
                  </pic:nvPicPr>
                  <pic:blipFill>
                    <a:blip r:embed="rId8"/>
                    <a:stretch>
                      <a:fillRect/>
                    </a:stretch>
                  </pic:blipFill>
                  <pic:spPr>
                    <a:xfrm>
                      <a:off x="0" y="0"/>
                      <a:ext cx="3152775" cy="1343025"/>
                    </a:xfrm>
                    <a:prstGeom prst="rect">
                      <a:avLst/>
                    </a:prstGeom>
                  </pic:spPr>
                </pic:pic>
              </a:graphicData>
            </a:graphic>
          </wp:inline>
        </w:drawing>
      </w:r>
    </w:p>
    <w:p w14:paraId="774533FA" w14:textId="39088352" w:rsidR="00EC2EB4" w:rsidRDefault="002039BB" w:rsidP="002039BB">
      <w:pPr>
        <w:pStyle w:val="Caption"/>
      </w:pPr>
      <w:bookmarkStart w:id="3" w:name="_Ref183646646"/>
      <w:r>
        <w:t xml:space="preserve">Figure </w:t>
      </w:r>
      <w:r>
        <w:fldChar w:fldCharType="begin"/>
      </w:r>
      <w:r>
        <w:instrText xml:space="preserve"> SEQ Figure \* ARABIC </w:instrText>
      </w:r>
      <w:r>
        <w:fldChar w:fldCharType="separate"/>
      </w:r>
      <w:r w:rsidR="00D35B2B">
        <w:rPr>
          <w:noProof/>
        </w:rPr>
        <w:t>1</w:t>
      </w:r>
      <w:r>
        <w:fldChar w:fldCharType="end"/>
      </w:r>
      <w:r>
        <w:t xml:space="preserve"> Asset Value Ranking</w:t>
      </w:r>
      <w:bookmarkEnd w:id="3"/>
    </w:p>
    <w:p w14:paraId="7DEEBEC4" w14:textId="75431460" w:rsidR="00572A3A" w:rsidRPr="00111671" w:rsidRDefault="00572A3A" w:rsidP="00111671">
      <w:pPr>
        <w:pStyle w:val="Subtitle"/>
        <w:rPr>
          <w:color w:val="0070C0"/>
        </w:rPr>
      </w:pPr>
      <w:r w:rsidRPr="00111671">
        <w:rPr>
          <w:color w:val="0070C0"/>
        </w:rPr>
        <w:t>Asset Owner</w:t>
      </w:r>
    </w:p>
    <w:p w14:paraId="04AE3AC7" w14:textId="11E3E62F" w:rsidR="00F615CC" w:rsidRDefault="007C46E0" w:rsidP="001A1CF3">
      <w:r>
        <w:t>Person(s) responsible for the asset</w:t>
      </w:r>
    </w:p>
    <w:p w14:paraId="6BA34910" w14:textId="43F7527A" w:rsidR="00572A3A" w:rsidRPr="00111671" w:rsidRDefault="00572A3A" w:rsidP="00111671">
      <w:pPr>
        <w:pStyle w:val="Subtitle"/>
        <w:rPr>
          <w:color w:val="0070C0"/>
        </w:rPr>
      </w:pPr>
      <w:r w:rsidRPr="00111671">
        <w:rPr>
          <w:color w:val="0070C0"/>
        </w:rPr>
        <w:t>Vulnerability</w:t>
      </w:r>
    </w:p>
    <w:p w14:paraId="38D11F6D" w14:textId="1C930559" w:rsidR="00E6114A" w:rsidRPr="00734F2A" w:rsidRDefault="00734F2A" w:rsidP="001A1CF3">
      <w:pPr>
        <w:tabs>
          <w:tab w:val="left" w:pos="1995"/>
        </w:tabs>
      </w:pPr>
      <w:r>
        <w:t xml:space="preserve">A </w:t>
      </w:r>
      <w:r w:rsidR="00B132DB">
        <w:t>Flaw or weakness in an asset that can be exploited by a threat</w:t>
      </w:r>
      <w:r w:rsidRPr="001A1CF3">
        <w:rPr>
          <w:rFonts w:ascii="Times New Roman" w:eastAsia="Times New Roman" w:hAnsi="Times New Roman" w:cs="Times New Roman"/>
          <w:kern w:val="0"/>
          <w:lang w:eastAsia="en-GB"/>
          <w14:ligatures w14:val="none"/>
        </w:rPr>
        <w:t xml:space="preserve"> </w:t>
      </w:r>
      <w:r w:rsidRPr="00734F2A">
        <w:t>(Puzder, 2023)</w:t>
      </w:r>
    </w:p>
    <w:p w14:paraId="04BD1840" w14:textId="11D6FD5C" w:rsidR="00572A3A" w:rsidRPr="00111671" w:rsidRDefault="00572A3A" w:rsidP="00111671">
      <w:pPr>
        <w:pStyle w:val="Subtitle"/>
        <w:rPr>
          <w:color w:val="0070C0"/>
        </w:rPr>
      </w:pPr>
      <w:r w:rsidRPr="00111671">
        <w:rPr>
          <w:color w:val="0070C0"/>
        </w:rPr>
        <w:t>Vulnerability Scale</w:t>
      </w:r>
    </w:p>
    <w:p w14:paraId="4E506BD9" w14:textId="77777777" w:rsidR="002039BB" w:rsidRDefault="000A4FC3" w:rsidP="002039BB">
      <w:pPr>
        <w:keepNext/>
      </w:pPr>
      <w:r>
        <w:rPr>
          <w:noProof/>
        </w:rPr>
        <w:drawing>
          <wp:inline distT="0" distB="0" distL="0" distR="0" wp14:anchorId="1B222EBD" wp14:editId="4D1BD313">
            <wp:extent cx="3143250" cy="1323975"/>
            <wp:effectExtent l="0" t="0" r="0" b="9525"/>
            <wp:docPr id="155843585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35859" name="Picture 1" descr="A table with text and numbers&#10;&#10;Description automatically generated"/>
                    <pic:cNvPicPr/>
                  </pic:nvPicPr>
                  <pic:blipFill>
                    <a:blip r:embed="rId9"/>
                    <a:stretch>
                      <a:fillRect/>
                    </a:stretch>
                  </pic:blipFill>
                  <pic:spPr>
                    <a:xfrm>
                      <a:off x="0" y="0"/>
                      <a:ext cx="3143250" cy="1323975"/>
                    </a:xfrm>
                    <a:prstGeom prst="rect">
                      <a:avLst/>
                    </a:prstGeom>
                  </pic:spPr>
                </pic:pic>
              </a:graphicData>
            </a:graphic>
          </wp:inline>
        </w:drawing>
      </w:r>
    </w:p>
    <w:p w14:paraId="5E7BE616" w14:textId="41A8D0AE" w:rsidR="000A4FC3" w:rsidRDefault="002039BB" w:rsidP="002039BB">
      <w:pPr>
        <w:pStyle w:val="Caption"/>
      </w:pPr>
      <w:bookmarkStart w:id="4" w:name="_Ref183649185"/>
      <w:r>
        <w:t xml:space="preserve">Figure </w:t>
      </w:r>
      <w:r>
        <w:fldChar w:fldCharType="begin"/>
      </w:r>
      <w:r>
        <w:instrText xml:space="preserve"> SEQ Figure \* ARABIC </w:instrText>
      </w:r>
      <w:r>
        <w:fldChar w:fldCharType="separate"/>
      </w:r>
      <w:r w:rsidR="00D35B2B">
        <w:rPr>
          <w:noProof/>
        </w:rPr>
        <w:t>2</w:t>
      </w:r>
      <w:r>
        <w:fldChar w:fldCharType="end"/>
      </w:r>
      <w:r>
        <w:t xml:space="preserve"> Vulnerability Ranking</w:t>
      </w:r>
      <w:bookmarkEnd w:id="4"/>
    </w:p>
    <w:p w14:paraId="5FB7DB21" w14:textId="6846AA5D" w:rsidR="00572A3A" w:rsidRPr="00111671" w:rsidRDefault="00572A3A" w:rsidP="00111671">
      <w:pPr>
        <w:pStyle w:val="Subtitle"/>
        <w:rPr>
          <w:color w:val="0070C0"/>
        </w:rPr>
      </w:pPr>
      <w:r w:rsidRPr="00111671">
        <w:rPr>
          <w:color w:val="0070C0"/>
        </w:rPr>
        <w:t>Threat</w:t>
      </w:r>
    </w:p>
    <w:p w14:paraId="336DFFA8" w14:textId="788206FD" w:rsidR="004E7498" w:rsidRPr="004E7498" w:rsidRDefault="004E7498" w:rsidP="00111671">
      <w:r>
        <w:t>Potential for a threat agent to exploit a vulnerability</w:t>
      </w:r>
      <w:r w:rsidRPr="00111671">
        <w:rPr>
          <w:rFonts w:ascii="Times New Roman" w:eastAsia="Times New Roman" w:hAnsi="Times New Roman" w:cs="Times New Roman"/>
          <w:kern w:val="0"/>
          <w:lang w:eastAsia="en-GB"/>
          <w14:ligatures w14:val="none"/>
        </w:rPr>
        <w:t xml:space="preserve"> </w:t>
      </w:r>
      <w:r w:rsidRPr="004E7498">
        <w:t>(Puzder, 2023)</w:t>
      </w:r>
    </w:p>
    <w:p w14:paraId="6395D0FE" w14:textId="2E7B3409" w:rsidR="00A153F5" w:rsidRPr="00111671" w:rsidRDefault="00572A3A" w:rsidP="00111671">
      <w:pPr>
        <w:pStyle w:val="Subtitle"/>
        <w:rPr>
          <w:color w:val="0070C0"/>
        </w:rPr>
      </w:pPr>
      <w:r w:rsidRPr="00111671">
        <w:rPr>
          <w:color w:val="0070C0"/>
        </w:rPr>
        <w:t>Threat Scale</w:t>
      </w:r>
    </w:p>
    <w:p w14:paraId="02A90039" w14:textId="77777777" w:rsidR="002039BB" w:rsidRDefault="00F34FD0" w:rsidP="002039BB">
      <w:pPr>
        <w:keepNext/>
      </w:pPr>
      <w:r>
        <w:rPr>
          <w:noProof/>
        </w:rPr>
        <w:drawing>
          <wp:inline distT="0" distB="0" distL="0" distR="0" wp14:anchorId="24B408EA" wp14:editId="52CCFE65">
            <wp:extent cx="3152775" cy="1352550"/>
            <wp:effectExtent l="0" t="0" r="9525" b="0"/>
            <wp:docPr id="29301846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18468" name="Picture 1" descr="A table with text on it&#10;&#10;Description automatically generated"/>
                    <pic:cNvPicPr/>
                  </pic:nvPicPr>
                  <pic:blipFill>
                    <a:blip r:embed="rId10"/>
                    <a:stretch>
                      <a:fillRect/>
                    </a:stretch>
                  </pic:blipFill>
                  <pic:spPr>
                    <a:xfrm>
                      <a:off x="0" y="0"/>
                      <a:ext cx="3152775" cy="1352550"/>
                    </a:xfrm>
                    <a:prstGeom prst="rect">
                      <a:avLst/>
                    </a:prstGeom>
                  </pic:spPr>
                </pic:pic>
              </a:graphicData>
            </a:graphic>
          </wp:inline>
        </w:drawing>
      </w:r>
    </w:p>
    <w:p w14:paraId="637FC156" w14:textId="04BA29C2" w:rsidR="00F34FD0" w:rsidRDefault="002039BB" w:rsidP="002039BB">
      <w:pPr>
        <w:pStyle w:val="Caption"/>
      </w:pPr>
      <w:r>
        <w:t xml:space="preserve">Figure </w:t>
      </w:r>
      <w:r>
        <w:fldChar w:fldCharType="begin"/>
      </w:r>
      <w:r>
        <w:instrText xml:space="preserve"> SEQ Figure \* ARABIC </w:instrText>
      </w:r>
      <w:r>
        <w:fldChar w:fldCharType="separate"/>
      </w:r>
      <w:r w:rsidR="00D35B2B">
        <w:rPr>
          <w:noProof/>
        </w:rPr>
        <w:t>3</w:t>
      </w:r>
      <w:r>
        <w:fldChar w:fldCharType="end"/>
      </w:r>
      <w:r>
        <w:t xml:space="preserve"> Threat Value Ranking</w:t>
      </w:r>
    </w:p>
    <w:p w14:paraId="4A6A04AA" w14:textId="7EBEB1B9" w:rsidR="00BE2E36" w:rsidRPr="00111671" w:rsidRDefault="007D0186" w:rsidP="00111671">
      <w:pPr>
        <w:pStyle w:val="Subtitle"/>
        <w:rPr>
          <w:color w:val="0070C0"/>
        </w:rPr>
      </w:pPr>
      <w:r w:rsidRPr="00111671">
        <w:rPr>
          <w:color w:val="0070C0"/>
        </w:rPr>
        <w:t xml:space="preserve">Inherent </w:t>
      </w:r>
      <w:r w:rsidR="005E4E4A" w:rsidRPr="00111671">
        <w:rPr>
          <w:color w:val="0070C0"/>
        </w:rPr>
        <w:t>Risk Likelihood</w:t>
      </w:r>
    </w:p>
    <w:p w14:paraId="17243D57" w14:textId="5FBE8C38" w:rsidR="007D605F" w:rsidRPr="001A1CF3" w:rsidRDefault="008117AC" w:rsidP="001A1CF3">
      <w:pPr>
        <w:rPr>
          <w:b/>
          <w:bCs/>
        </w:rPr>
      </w:pPr>
      <w:r>
        <w:t>Risk Likelihood = Threat * Vulnerability</w:t>
      </w:r>
    </w:p>
    <w:p w14:paraId="3EAA62E8" w14:textId="28E0CFBF" w:rsidR="005E4E4A" w:rsidRPr="00111671" w:rsidRDefault="007D0186" w:rsidP="00111671">
      <w:pPr>
        <w:pStyle w:val="Subtitle"/>
        <w:rPr>
          <w:color w:val="0070C0"/>
        </w:rPr>
      </w:pPr>
      <w:r w:rsidRPr="00111671">
        <w:rPr>
          <w:color w:val="0070C0"/>
        </w:rPr>
        <w:lastRenderedPageBreak/>
        <w:t xml:space="preserve">Inherent </w:t>
      </w:r>
      <w:r w:rsidR="005E4E4A" w:rsidRPr="00111671">
        <w:rPr>
          <w:color w:val="0070C0"/>
        </w:rPr>
        <w:t>Risk Impact</w:t>
      </w:r>
    </w:p>
    <w:p w14:paraId="6121E7C2" w14:textId="77777777" w:rsidR="002039BB" w:rsidRDefault="00CD4B6A" w:rsidP="002039BB">
      <w:pPr>
        <w:keepNext/>
      </w:pPr>
      <w:r>
        <w:rPr>
          <w:noProof/>
        </w:rPr>
        <w:drawing>
          <wp:inline distT="0" distB="0" distL="0" distR="0" wp14:anchorId="174BBEBA" wp14:editId="0C726C4A">
            <wp:extent cx="3143250" cy="1333500"/>
            <wp:effectExtent l="0" t="0" r="0" b="0"/>
            <wp:docPr id="61219667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96679" name="Picture 1" descr="A table with text on it&#10;&#10;Description automatically generated"/>
                    <pic:cNvPicPr/>
                  </pic:nvPicPr>
                  <pic:blipFill>
                    <a:blip r:embed="rId11"/>
                    <a:stretch>
                      <a:fillRect/>
                    </a:stretch>
                  </pic:blipFill>
                  <pic:spPr>
                    <a:xfrm>
                      <a:off x="0" y="0"/>
                      <a:ext cx="3143250" cy="1333500"/>
                    </a:xfrm>
                    <a:prstGeom prst="rect">
                      <a:avLst/>
                    </a:prstGeom>
                  </pic:spPr>
                </pic:pic>
              </a:graphicData>
            </a:graphic>
          </wp:inline>
        </w:drawing>
      </w:r>
    </w:p>
    <w:p w14:paraId="25D07091" w14:textId="23720C94" w:rsidR="00C534B6" w:rsidRDefault="002039BB" w:rsidP="002039BB">
      <w:pPr>
        <w:pStyle w:val="Caption"/>
      </w:pPr>
      <w:bookmarkStart w:id="5" w:name="_Ref183626022"/>
      <w:r>
        <w:t xml:space="preserve">Figure </w:t>
      </w:r>
      <w:r>
        <w:fldChar w:fldCharType="begin"/>
      </w:r>
      <w:r>
        <w:instrText xml:space="preserve"> SEQ Figure \* ARABIC </w:instrText>
      </w:r>
      <w:r>
        <w:fldChar w:fldCharType="separate"/>
      </w:r>
      <w:r w:rsidR="00D35B2B">
        <w:rPr>
          <w:noProof/>
        </w:rPr>
        <w:t>4</w:t>
      </w:r>
      <w:r>
        <w:fldChar w:fldCharType="end"/>
      </w:r>
      <w:r>
        <w:t xml:space="preserve"> Risk Impact</w:t>
      </w:r>
      <w:bookmarkEnd w:id="5"/>
    </w:p>
    <w:p w14:paraId="60F72113" w14:textId="4DB8D7DC" w:rsidR="00D0155C" w:rsidRPr="00111671" w:rsidRDefault="007D0186" w:rsidP="00111671">
      <w:pPr>
        <w:pStyle w:val="Subtitle"/>
        <w:rPr>
          <w:color w:val="0070C0"/>
        </w:rPr>
      </w:pPr>
      <w:r w:rsidRPr="00111671">
        <w:rPr>
          <w:color w:val="0070C0"/>
        </w:rPr>
        <w:t xml:space="preserve">Inherent </w:t>
      </w:r>
      <w:r w:rsidR="005E4E4A" w:rsidRPr="00111671">
        <w:rPr>
          <w:color w:val="0070C0"/>
        </w:rPr>
        <w:t xml:space="preserve">Risk </w:t>
      </w:r>
    </w:p>
    <w:p w14:paraId="7755DCAD" w14:textId="2C6301E2" w:rsidR="00470FDF" w:rsidRPr="001A1CF3" w:rsidRDefault="002A3FC0" w:rsidP="001A1CF3">
      <w:pPr>
        <w:rPr>
          <w:b/>
          <w:bCs/>
        </w:rPr>
      </w:pPr>
      <w:r>
        <w:t xml:space="preserve">Inherent </w:t>
      </w:r>
      <w:r w:rsidR="00894C73">
        <w:t>Risk = Likelihood * Impact</w:t>
      </w:r>
    </w:p>
    <w:p w14:paraId="310390F5" w14:textId="73B0C241" w:rsidR="00B009C8" w:rsidRPr="001A1CF3" w:rsidRDefault="00B009C8" w:rsidP="008F7F38">
      <w:pPr>
        <w:spacing w:after="100" w:afterAutospacing="1"/>
        <w:rPr>
          <w:b/>
          <w:bCs/>
        </w:rPr>
      </w:pPr>
      <w:r>
        <w:t xml:space="preserve">Some </w:t>
      </w:r>
      <w:r w:rsidR="00974BEB">
        <w:t>risks are assigned a value different to the calculated value</w:t>
      </w:r>
    </w:p>
    <w:p w14:paraId="0F016EC2" w14:textId="212D2386" w:rsidR="00360FC8" w:rsidRDefault="005951D3" w:rsidP="00360FC8">
      <w:pPr>
        <w:keepNext/>
      </w:pPr>
      <w:r>
        <w:rPr>
          <w:noProof/>
        </w:rPr>
        <w:drawing>
          <wp:inline distT="0" distB="0" distL="0" distR="0" wp14:anchorId="32F4D2BA" wp14:editId="483FDD5F">
            <wp:extent cx="3152775" cy="1343025"/>
            <wp:effectExtent l="0" t="0" r="9525" b="9525"/>
            <wp:docPr id="162404372"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4372" name="Picture 1" descr="A table with text and numbers&#10;&#10;Description automatically generated"/>
                    <pic:cNvPicPr/>
                  </pic:nvPicPr>
                  <pic:blipFill>
                    <a:blip r:embed="rId12"/>
                    <a:stretch>
                      <a:fillRect/>
                    </a:stretch>
                  </pic:blipFill>
                  <pic:spPr>
                    <a:xfrm>
                      <a:off x="0" y="0"/>
                      <a:ext cx="3152775" cy="1343025"/>
                    </a:xfrm>
                    <a:prstGeom prst="rect">
                      <a:avLst/>
                    </a:prstGeom>
                  </pic:spPr>
                </pic:pic>
              </a:graphicData>
            </a:graphic>
          </wp:inline>
        </w:drawing>
      </w:r>
      <w:r>
        <w:rPr>
          <w:noProof/>
        </w:rPr>
        <w:t xml:space="preserve"> </w:t>
      </w:r>
    </w:p>
    <w:p w14:paraId="2CD65058" w14:textId="6386A606" w:rsidR="002039BB" w:rsidRPr="002039BB" w:rsidRDefault="00360FC8" w:rsidP="00360FC8">
      <w:pPr>
        <w:pStyle w:val="Caption"/>
        <w:rPr>
          <w:b/>
          <w:bCs/>
        </w:rPr>
      </w:pPr>
      <w:r>
        <w:t xml:space="preserve">Figure </w:t>
      </w:r>
      <w:r>
        <w:fldChar w:fldCharType="begin"/>
      </w:r>
      <w:r>
        <w:instrText xml:space="preserve"> SEQ Figure \* ARABIC </w:instrText>
      </w:r>
      <w:r>
        <w:fldChar w:fldCharType="separate"/>
      </w:r>
      <w:r w:rsidR="00D35B2B">
        <w:rPr>
          <w:noProof/>
        </w:rPr>
        <w:t>5</w:t>
      </w:r>
      <w:r>
        <w:fldChar w:fldCharType="end"/>
      </w:r>
      <w:r>
        <w:t xml:space="preserve"> Risk Value Ranking</w:t>
      </w:r>
    </w:p>
    <w:p w14:paraId="088715E4" w14:textId="20C151EA" w:rsidR="005E4E4A" w:rsidRPr="00111671" w:rsidRDefault="005E4E4A" w:rsidP="00111671">
      <w:pPr>
        <w:pStyle w:val="Subtitle"/>
        <w:rPr>
          <w:color w:val="0070C0"/>
        </w:rPr>
      </w:pPr>
      <w:r w:rsidRPr="00111671">
        <w:rPr>
          <w:color w:val="0070C0"/>
        </w:rPr>
        <w:t>Current Controls</w:t>
      </w:r>
    </w:p>
    <w:p w14:paraId="6D987642" w14:textId="3CAE4D20" w:rsidR="00190DA4" w:rsidRPr="00190DA4" w:rsidRDefault="00190DA4" w:rsidP="00491C06">
      <w:r>
        <w:t xml:space="preserve">Already implemented controls in place </w:t>
      </w:r>
      <w:r w:rsidR="000D44D1">
        <w:t>to</w:t>
      </w:r>
      <w:r>
        <w:t xml:space="preserve"> mitigate</w:t>
      </w:r>
      <w:r w:rsidR="009E122E">
        <w:t xml:space="preserve"> risk</w:t>
      </w:r>
    </w:p>
    <w:p w14:paraId="729D0E6A" w14:textId="7D1686F5" w:rsidR="005E4E4A" w:rsidRPr="00111671" w:rsidRDefault="005E4E4A" w:rsidP="00111671">
      <w:pPr>
        <w:pStyle w:val="Subtitle"/>
        <w:rPr>
          <w:color w:val="0070C0"/>
        </w:rPr>
      </w:pPr>
      <w:r w:rsidRPr="00111671">
        <w:rPr>
          <w:color w:val="0070C0"/>
        </w:rPr>
        <w:t>Recommended Controls</w:t>
      </w:r>
    </w:p>
    <w:p w14:paraId="513ACDDF" w14:textId="76A8E949" w:rsidR="009E122E" w:rsidRPr="009E122E" w:rsidRDefault="009E122E" w:rsidP="00491C06">
      <w:r>
        <w:t>Proposed controls to mitigate risk</w:t>
      </w:r>
    </w:p>
    <w:p w14:paraId="3C86A7A6" w14:textId="79B74AA2" w:rsidR="007C46E0" w:rsidRPr="00111671" w:rsidRDefault="007C46E0" w:rsidP="00111671">
      <w:pPr>
        <w:pStyle w:val="Subtitle"/>
        <w:rPr>
          <w:color w:val="0070C0"/>
        </w:rPr>
      </w:pPr>
      <w:r w:rsidRPr="00111671">
        <w:rPr>
          <w:color w:val="0070C0"/>
        </w:rPr>
        <w:t>Control Owner</w:t>
      </w:r>
    </w:p>
    <w:p w14:paraId="584AD0EB" w14:textId="6907EFCC" w:rsidR="003F1DDF" w:rsidRDefault="007C46E0" w:rsidP="00F444E7">
      <w:r>
        <w:t>Person(s) responsible for</w:t>
      </w:r>
      <w:r w:rsidR="003F1DDF">
        <w:t xml:space="preserve"> implementing and maintaining control measure</w:t>
      </w:r>
    </w:p>
    <w:p w14:paraId="14F19AFA" w14:textId="6E24D1FF" w:rsidR="007C46E0" w:rsidRPr="00111671" w:rsidRDefault="007C46E0" w:rsidP="00111671">
      <w:pPr>
        <w:pStyle w:val="Subtitle"/>
        <w:rPr>
          <w:color w:val="0070C0"/>
        </w:rPr>
      </w:pPr>
      <w:r w:rsidRPr="00111671">
        <w:rPr>
          <w:color w:val="0070C0"/>
        </w:rPr>
        <w:t>Date Due</w:t>
      </w:r>
    </w:p>
    <w:p w14:paraId="36D0E3F0" w14:textId="64A60442" w:rsidR="009E122E" w:rsidRPr="009E122E" w:rsidRDefault="009E122E" w:rsidP="00491C06">
      <w:r>
        <w:t>Proposed control due date</w:t>
      </w:r>
    </w:p>
    <w:p w14:paraId="25E1F790" w14:textId="418DBA2C" w:rsidR="00261E97" w:rsidRPr="00111671" w:rsidRDefault="005E4E4A" w:rsidP="00111671">
      <w:pPr>
        <w:pStyle w:val="Subtitle"/>
        <w:rPr>
          <w:color w:val="0070C0"/>
        </w:rPr>
      </w:pPr>
      <w:r w:rsidRPr="00111671">
        <w:rPr>
          <w:color w:val="0070C0"/>
        </w:rPr>
        <w:t>ISO</w:t>
      </w:r>
      <w:r w:rsidR="00D41A22" w:rsidRPr="00111671">
        <w:rPr>
          <w:color w:val="0070C0"/>
        </w:rPr>
        <w:t xml:space="preserve"> 27001</w:t>
      </w:r>
      <w:r w:rsidR="00261E97" w:rsidRPr="00111671">
        <w:rPr>
          <w:color w:val="0070C0"/>
        </w:rPr>
        <w:t xml:space="preserve"> </w:t>
      </w:r>
      <w:r w:rsidR="00D41A22" w:rsidRPr="00111671">
        <w:rPr>
          <w:color w:val="0070C0"/>
        </w:rPr>
        <w:t>Reference</w:t>
      </w:r>
    </w:p>
    <w:p w14:paraId="66A04598" w14:textId="10E735D5" w:rsidR="00261E97" w:rsidRPr="00261E97" w:rsidRDefault="00261E97" w:rsidP="00491C06">
      <w:r>
        <w:t>Reference to ISO 27001:2002 Annex a Control</w:t>
      </w:r>
    </w:p>
    <w:p w14:paraId="6CA264FB" w14:textId="1D39F735" w:rsidR="00D41A22" w:rsidRPr="00111671" w:rsidRDefault="00D41A22" w:rsidP="00111671">
      <w:pPr>
        <w:pStyle w:val="Subtitle"/>
        <w:rPr>
          <w:color w:val="0070C0"/>
        </w:rPr>
      </w:pPr>
      <w:r w:rsidRPr="00111671">
        <w:rPr>
          <w:color w:val="0070C0"/>
        </w:rPr>
        <w:t>Treatment Option</w:t>
      </w:r>
    </w:p>
    <w:p w14:paraId="65CFB056" w14:textId="2113732B" w:rsidR="009E122E" w:rsidRPr="009E122E" w:rsidRDefault="009E122E" w:rsidP="00491C06">
      <w:r>
        <w:t>Mitigate, Transfer, Accept</w:t>
      </w:r>
    </w:p>
    <w:p w14:paraId="0A488A50" w14:textId="3C4D3594" w:rsidR="00D41A22" w:rsidRPr="00111671" w:rsidRDefault="00D41A22" w:rsidP="00111671">
      <w:pPr>
        <w:pStyle w:val="Subtitle"/>
        <w:rPr>
          <w:color w:val="0070C0"/>
        </w:rPr>
      </w:pPr>
      <w:r w:rsidRPr="00111671">
        <w:rPr>
          <w:color w:val="0070C0"/>
        </w:rPr>
        <w:lastRenderedPageBreak/>
        <w:t>Residual Risk Impact</w:t>
      </w:r>
    </w:p>
    <w:p w14:paraId="296980DF" w14:textId="383524C3" w:rsidR="00306466" w:rsidRPr="00306466" w:rsidRDefault="00306466" w:rsidP="00491C06">
      <w:r>
        <w:t>See</w:t>
      </w:r>
      <w:r w:rsidR="00285D86">
        <w:t xml:space="preserve"> </w:t>
      </w:r>
      <w:r w:rsidR="00285D86" w:rsidRPr="00111671">
        <w:rPr>
          <w:i/>
          <w:iCs/>
          <w:color w:val="0070C0"/>
        </w:rPr>
        <w:fldChar w:fldCharType="begin"/>
      </w:r>
      <w:r w:rsidR="00285D86" w:rsidRPr="00111671">
        <w:rPr>
          <w:i/>
          <w:iCs/>
          <w:color w:val="0070C0"/>
        </w:rPr>
        <w:instrText xml:space="preserve"> REF _Ref183626022 \h </w:instrText>
      </w:r>
      <w:r w:rsidR="00111671">
        <w:rPr>
          <w:i/>
          <w:iCs/>
          <w:color w:val="0070C0"/>
        </w:rPr>
        <w:instrText xml:space="preserve"> \* MERGEFORMAT </w:instrText>
      </w:r>
      <w:r w:rsidR="00285D86" w:rsidRPr="00111671">
        <w:rPr>
          <w:i/>
          <w:iCs/>
          <w:color w:val="0070C0"/>
        </w:rPr>
      </w:r>
      <w:r w:rsidR="00285D86" w:rsidRPr="00111671">
        <w:rPr>
          <w:i/>
          <w:iCs/>
          <w:color w:val="0070C0"/>
        </w:rPr>
        <w:fldChar w:fldCharType="separate"/>
      </w:r>
      <w:r w:rsidR="00D35B2B" w:rsidRPr="00D35B2B">
        <w:rPr>
          <w:i/>
          <w:iCs/>
          <w:color w:val="0070C0"/>
        </w:rPr>
        <w:t xml:space="preserve">Figure </w:t>
      </w:r>
      <w:r w:rsidR="00D35B2B" w:rsidRPr="00D35B2B">
        <w:rPr>
          <w:i/>
          <w:iCs/>
          <w:noProof/>
          <w:color w:val="0070C0"/>
        </w:rPr>
        <w:t>4</w:t>
      </w:r>
      <w:r w:rsidR="00D35B2B" w:rsidRPr="00D35B2B">
        <w:rPr>
          <w:i/>
          <w:iCs/>
          <w:color w:val="0070C0"/>
        </w:rPr>
        <w:t xml:space="preserve"> Risk Impact</w:t>
      </w:r>
      <w:r w:rsidR="00285D86" w:rsidRPr="00111671">
        <w:rPr>
          <w:i/>
          <w:iCs/>
          <w:color w:val="0070C0"/>
        </w:rPr>
        <w:fldChar w:fldCharType="end"/>
      </w:r>
      <w:r w:rsidR="00285D86" w:rsidRPr="00852695">
        <w:rPr>
          <w:color w:val="0070C0"/>
        </w:rPr>
        <w:t xml:space="preserve"> </w:t>
      </w:r>
    </w:p>
    <w:p w14:paraId="5BB923DC" w14:textId="38A408C7" w:rsidR="004A4DC3" w:rsidRPr="00111671" w:rsidRDefault="00D41A22" w:rsidP="00111671">
      <w:pPr>
        <w:pStyle w:val="Subtitle"/>
        <w:rPr>
          <w:color w:val="0070C0"/>
        </w:rPr>
      </w:pPr>
      <w:r w:rsidRPr="00111671">
        <w:rPr>
          <w:color w:val="0070C0"/>
        </w:rPr>
        <w:t>Residual Risk likelihood</w:t>
      </w:r>
    </w:p>
    <w:p w14:paraId="58769D69" w14:textId="668483CF" w:rsidR="004A4DC3" w:rsidRPr="00491C06" w:rsidRDefault="004A4DC3" w:rsidP="00491C06">
      <w:pPr>
        <w:rPr>
          <w:b/>
          <w:bCs/>
        </w:rPr>
      </w:pPr>
      <w:r>
        <w:t>Residual Risk Likelihood = Threat * Vulnerability</w:t>
      </w:r>
    </w:p>
    <w:p w14:paraId="4CA0FAAE" w14:textId="1A18A5D8" w:rsidR="00D41A22" w:rsidRPr="00111671" w:rsidRDefault="00D41A22" w:rsidP="00111671">
      <w:pPr>
        <w:pStyle w:val="Subtitle"/>
        <w:rPr>
          <w:color w:val="0070C0"/>
        </w:rPr>
      </w:pPr>
      <w:r w:rsidRPr="00111671">
        <w:rPr>
          <w:color w:val="0070C0"/>
        </w:rPr>
        <w:t>Residual Risk</w:t>
      </w:r>
    </w:p>
    <w:p w14:paraId="1959F9CC" w14:textId="58A225E9" w:rsidR="00761847" w:rsidRPr="00761847" w:rsidRDefault="00761847" w:rsidP="00491C06">
      <w:r>
        <w:t>Residual Risk = Threat * (Vulnerability - Countermeasure) * Residual Risk Impact</w:t>
      </w:r>
    </w:p>
    <w:p w14:paraId="78A208A8" w14:textId="58EAFE2C" w:rsidR="00D41A22" w:rsidRPr="00111671" w:rsidRDefault="00D41A22" w:rsidP="00111671">
      <w:pPr>
        <w:pStyle w:val="Subtitle"/>
        <w:rPr>
          <w:color w:val="0070C0"/>
        </w:rPr>
      </w:pPr>
      <w:r w:rsidRPr="00111671">
        <w:rPr>
          <w:color w:val="0070C0"/>
        </w:rPr>
        <w:t>Next Review Date</w:t>
      </w:r>
    </w:p>
    <w:p w14:paraId="4BC51A51" w14:textId="57518F0E" w:rsidR="00541147" w:rsidRDefault="00541147" w:rsidP="00491C06">
      <w:r>
        <w:t>Review of Risk and Controls</w:t>
      </w:r>
    </w:p>
    <w:p w14:paraId="21D1297A" w14:textId="77777777" w:rsidR="00D41A22" w:rsidRPr="00A153F5" w:rsidRDefault="00D41A22" w:rsidP="00D41A22"/>
    <w:p w14:paraId="3B019329" w14:textId="0030A5C8" w:rsidR="00811356" w:rsidRDefault="00661500" w:rsidP="00811356">
      <w:pPr>
        <w:pStyle w:val="Heading2"/>
        <w:rPr>
          <w:color w:val="0070C0"/>
        </w:rPr>
      </w:pPr>
      <w:bookmarkStart w:id="6" w:name="_Toc183690940"/>
      <w:r>
        <w:rPr>
          <w:color w:val="0070C0"/>
        </w:rPr>
        <w:t>Assets</w:t>
      </w:r>
      <w:bookmarkEnd w:id="6"/>
    </w:p>
    <w:p w14:paraId="76A13CD2" w14:textId="73D61C93" w:rsidR="000C5E30" w:rsidRDefault="00CF20A4" w:rsidP="00811356">
      <w:r>
        <w:t xml:space="preserve">The Risk Register has outlined </w:t>
      </w:r>
      <w:r w:rsidRPr="00366506">
        <w:rPr>
          <w:b/>
          <w:bCs/>
        </w:rPr>
        <w:t>4</w:t>
      </w:r>
      <w:r w:rsidR="00F10EDD">
        <w:rPr>
          <w:b/>
          <w:bCs/>
        </w:rPr>
        <w:t>1</w:t>
      </w:r>
      <w:r w:rsidRPr="00366506">
        <w:rPr>
          <w:b/>
          <w:bCs/>
        </w:rPr>
        <w:t xml:space="preserve"> </w:t>
      </w:r>
      <w:r w:rsidR="0029363D" w:rsidRPr="00366506">
        <w:rPr>
          <w:b/>
          <w:bCs/>
        </w:rPr>
        <w:t>assets</w:t>
      </w:r>
      <w:r w:rsidR="0029363D">
        <w:t xml:space="preserve"> derived from the case study, falling into 1 of</w:t>
      </w:r>
      <w:r w:rsidR="009B78C6">
        <w:t xml:space="preserve"> 5 categories: </w:t>
      </w:r>
    </w:p>
    <w:p w14:paraId="29269F0F" w14:textId="0EA06953" w:rsidR="009B78C6" w:rsidRDefault="009B78C6" w:rsidP="009B78C6">
      <w:pPr>
        <w:pStyle w:val="ListParagraph"/>
        <w:numPr>
          <w:ilvl w:val="0"/>
          <w:numId w:val="12"/>
        </w:numPr>
      </w:pPr>
      <w:r>
        <w:t>People</w:t>
      </w:r>
    </w:p>
    <w:p w14:paraId="56C0ED9F" w14:textId="3EE415E2" w:rsidR="00F31115" w:rsidRDefault="00F31115" w:rsidP="00F31115">
      <w:pPr>
        <w:pStyle w:val="ListParagraph"/>
        <w:numPr>
          <w:ilvl w:val="1"/>
          <w:numId w:val="12"/>
        </w:numPr>
      </w:pPr>
      <w:r>
        <w:t>InnoVAR employees</w:t>
      </w:r>
      <w:r w:rsidR="00074C2A">
        <w:t xml:space="preserve"> and senior staff</w:t>
      </w:r>
    </w:p>
    <w:p w14:paraId="1724389F" w14:textId="1962B49B" w:rsidR="00616D09" w:rsidRDefault="00616D09" w:rsidP="00F31115">
      <w:pPr>
        <w:pStyle w:val="ListParagraph"/>
        <w:numPr>
          <w:ilvl w:val="1"/>
          <w:numId w:val="12"/>
        </w:numPr>
      </w:pPr>
      <w:r>
        <w:t>External contractors</w:t>
      </w:r>
    </w:p>
    <w:p w14:paraId="6E6BE01B" w14:textId="3E1AD266" w:rsidR="009B78C6" w:rsidRDefault="009B78C6" w:rsidP="009B78C6">
      <w:pPr>
        <w:pStyle w:val="ListParagraph"/>
        <w:numPr>
          <w:ilvl w:val="0"/>
          <w:numId w:val="12"/>
        </w:numPr>
      </w:pPr>
      <w:r>
        <w:t>Data</w:t>
      </w:r>
    </w:p>
    <w:p w14:paraId="3485CA67" w14:textId="333178A1" w:rsidR="004504DD" w:rsidRDefault="004504DD" w:rsidP="004504DD">
      <w:pPr>
        <w:pStyle w:val="ListParagraph"/>
        <w:numPr>
          <w:ilvl w:val="1"/>
          <w:numId w:val="12"/>
        </w:numPr>
      </w:pPr>
      <w:r>
        <w:t>Customer</w:t>
      </w:r>
      <w:r w:rsidR="00D817F5">
        <w:t xml:space="preserve"> </w:t>
      </w:r>
      <w:r w:rsidR="00074C2A">
        <w:t>and company data</w:t>
      </w:r>
    </w:p>
    <w:p w14:paraId="61556A4C" w14:textId="4A9547BC" w:rsidR="009B78C6" w:rsidRDefault="009B78C6" w:rsidP="009B78C6">
      <w:pPr>
        <w:pStyle w:val="ListParagraph"/>
        <w:numPr>
          <w:ilvl w:val="0"/>
          <w:numId w:val="12"/>
        </w:numPr>
      </w:pPr>
      <w:r>
        <w:t>Intellectual Property</w:t>
      </w:r>
    </w:p>
    <w:p w14:paraId="08C3786D" w14:textId="325AADD5" w:rsidR="00D817F5" w:rsidRDefault="00D817F5" w:rsidP="00D817F5">
      <w:pPr>
        <w:pStyle w:val="ListParagraph"/>
        <w:numPr>
          <w:ilvl w:val="1"/>
          <w:numId w:val="12"/>
        </w:numPr>
      </w:pPr>
      <w:r>
        <w:t>Source Code</w:t>
      </w:r>
      <w:r w:rsidR="00F97BFB">
        <w:t xml:space="preserve"> and engineering diagrams</w:t>
      </w:r>
    </w:p>
    <w:p w14:paraId="4F6685AA" w14:textId="55C8C47A" w:rsidR="005F103F" w:rsidRDefault="005F103F" w:rsidP="00D817F5">
      <w:pPr>
        <w:pStyle w:val="ListParagraph"/>
        <w:numPr>
          <w:ilvl w:val="1"/>
          <w:numId w:val="12"/>
        </w:numPr>
      </w:pPr>
      <w:r>
        <w:t>IT</w:t>
      </w:r>
      <w:r w:rsidR="007D09CA">
        <w:t>/</w:t>
      </w:r>
      <w:r>
        <w:t>Password Policies and Incident Response Plan</w:t>
      </w:r>
    </w:p>
    <w:p w14:paraId="4CF5E377" w14:textId="602DA2F0" w:rsidR="009B78C6" w:rsidRDefault="009B78C6" w:rsidP="009B78C6">
      <w:pPr>
        <w:pStyle w:val="ListParagraph"/>
        <w:numPr>
          <w:ilvl w:val="0"/>
          <w:numId w:val="12"/>
        </w:numPr>
      </w:pPr>
      <w:r>
        <w:t>Systems</w:t>
      </w:r>
    </w:p>
    <w:p w14:paraId="2B70B3D0" w14:textId="26D03E9D" w:rsidR="00F97BFB" w:rsidRDefault="00F97BFB" w:rsidP="00F97BFB">
      <w:pPr>
        <w:pStyle w:val="ListParagraph"/>
        <w:numPr>
          <w:ilvl w:val="1"/>
          <w:numId w:val="12"/>
        </w:numPr>
      </w:pPr>
      <w:r>
        <w:t>End point devices</w:t>
      </w:r>
    </w:p>
    <w:p w14:paraId="52EF7EF5" w14:textId="5712C23D" w:rsidR="00F97BFB" w:rsidRDefault="00F97BFB" w:rsidP="00F97BFB">
      <w:pPr>
        <w:pStyle w:val="ListParagraph"/>
        <w:numPr>
          <w:ilvl w:val="1"/>
          <w:numId w:val="12"/>
        </w:numPr>
      </w:pPr>
      <w:r>
        <w:t>Servers</w:t>
      </w:r>
      <w:r w:rsidR="00C5619A">
        <w:t xml:space="preserve"> (Web, Email, Database, Application, Storage)</w:t>
      </w:r>
    </w:p>
    <w:p w14:paraId="0EC47EBD" w14:textId="3951C58E" w:rsidR="006013E2" w:rsidRDefault="006013E2" w:rsidP="00F97BFB">
      <w:pPr>
        <w:pStyle w:val="ListParagraph"/>
        <w:numPr>
          <w:ilvl w:val="1"/>
          <w:numId w:val="12"/>
        </w:numPr>
      </w:pPr>
      <w:r>
        <w:t>Applications</w:t>
      </w:r>
    </w:p>
    <w:p w14:paraId="4E0CF3E7" w14:textId="17D37F35" w:rsidR="009B78C6" w:rsidRDefault="009B78C6" w:rsidP="009B78C6">
      <w:pPr>
        <w:pStyle w:val="ListParagraph"/>
        <w:numPr>
          <w:ilvl w:val="0"/>
          <w:numId w:val="12"/>
        </w:numPr>
      </w:pPr>
      <w:r>
        <w:t>Property</w:t>
      </w:r>
    </w:p>
    <w:p w14:paraId="6044C5D5" w14:textId="4FB95643" w:rsidR="006013E2" w:rsidRDefault="006013E2" w:rsidP="006013E2">
      <w:pPr>
        <w:pStyle w:val="ListParagraph"/>
        <w:numPr>
          <w:ilvl w:val="1"/>
          <w:numId w:val="12"/>
        </w:numPr>
      </w:pPr>
      <w:r>
        <w:t>Offices</w:t>
      </w:r>
      <w:r w:rsidR="007B4061">
        <w:t xml:space="preserve"> and Data Centres</w:t>
      </w:r>
    </w:p>
    <w:p w14:paraId="0A377BCE" w14:textId="039F7871" w:rsidR="003E650A" w:rsidRDefault="007B4061" w:rsidP="003E650A">
      <w:pPr>
        <w:pStyle w:val="ListParagraph"/>
        <w:numPr>
          <w:ilvl w:val="1"/>
          <w:numId w:val="12"/>
        </w:numPr>
      </w:pPr>
      <w:r>
        <w:t>Physical Security Systems</w:t>
      </w:r>
      <w:r w:rsidR="00F46C23">
        <w:t xml:space="preserve"> (Passes, Turnstiles, Optical Readers)</w:t>
      </w:r>
    </w:p>
    <w:p w14:paraId="74BE75BB" w14:textId="77777777" w:rsidR="003E650A" w:rsidRDefault="003E650A" w:rsidP="003E650A"/>
    <w:p w14:paraId="1BB4A447" w14:textId="079575DE" w:rsidR="003E650A" w:rsidRDefault="003E650A" w:rsidP="003E650A">
      <w:r>
        <w:t>Assets were</w:t>
      </w:r>
      <w:r w:rsidR="00596952">
        <w:t xml:space="preserve"> given a</w:t>
      </w:r>
      <w:r w:rsidR="0036071D">
        <w:t xml:space="preserve"> value ranking </w:t>
      </w:r>
      <w:r w:rsidR="00E72102">
        <w:t>based upon the value to InnoVAR</w:t>
      </w:r>
      <w:r w:rsidR="00940A5F">
        <w:t xml:space="preserve"> (</w:t>
      </w:r>
      <w:r w:rsidR="00940A5F" w:rsidRPr="00940A5F">
        <w:rPr>
          <w:i/>
          <w:iCs/>
          <w:color w:val="0070C0"/>
        </w:rPr>
        <w:fldChar w:fldCharType="begin"/>
      </w:r>
      <w:r w:rsidR="00940A5F" w:rsidRPr="00940A5F">
        <w:rPr>
          <w:i/>
          <w:iCs/>
          <w:color w:val="0070C0"/>
        </w:rPr>
        <w:instrText xml:space="preserve"> REF _Ref183646646 \h  \* MERGEFORMAT </w:instrText>
      </w:r>
      <w:r w:rsidR="00940A5F" w:rsidRPr="00940A5F">
        <w:rPr>
          <w:i/>
          <w:iCs/>
          <w:color w:val="0070C0"/>
        </w:rPr>
      </w:r>
      <w:r w:rsidR="00940A5F" w:rsidRPr="00940A5F">
        <w:rPr>
          <w:i/>
          <w:iCs/>
          <w:color w:val="0070C0"/>
        </w:rPr>
        <w:fldChar w:fldCharType="separate"/>
      </w:r>
      <w:r w:rsidR="00D35B2B" w:rsidRPr="00D35B2B">
        <w:rPr>
          <w:i/>
          <w:iCs/>
          <w:color w:val="0070C0"/>
        </w:rPr>
        <w:t xml:space="preserve">Figure </w:t>
      </w:r>
      <w:r w:rsidR="00D35B2B" w:rsidRPr="00D35B2B">
        <w:rPr>
          <w:i/>
          <w:iCs/>
          <w:noProof/>
          <w:color w:val="0070C0"/>
        </w:rPr>
        <w:t>1</w:t>
      </w:r>
      <w:r w:rsidR="00D35B2B" w:rsidRPr="00D35B2B">
        <w:rPr>
          <w:i/>
          <w:iCs/>
          <w:color w:val="0070C0"/>
        </w:rPr>
        <w:t xml:space="preserve"> Asset Value Ranking</w:t>
      </w:r>
      <w:r w:rsidR="00940A5F" w:rsidRPr="00940A5F">
        <w:rPr>
          <w:i/>
          <w:iCs/>
          <w:color w:val="0070C0"/>
        </w:rPr>
        <w:fldChar w:fldCharType="end"/>
      </w:r>
      <w:r w:rsidR="00940A5F">
        <w:t>)</w:t>
      </w:r>
      <w:r w:rsidR="00475C6F">
        <w:t>.</w:t>
      </w:r>
    </w:p>
    <w:p w14:paraId="0A81BEED" w14:textId="659BA793" w:rsidR="001C1123" w:rsidRDefault="00DA5A4C" w:rsidP="001C1123">
      <w:pPr>
        <w:keepNext/>
      </w:pPr>
      <w:r w:rsidRPr="00DA5A4C">
        <w:rPr>
          <w:noProof/>
        </w:rPr>
        <w:lastRenderedPageBreak/>
        <w:t xml:space="preserve"> </w:t>
      </w:r>
      <w:r>
        <w:rPr>
          <w:noProof/>
        </w:rPr>
        <w:drawing>
          <wp:inline distT="0" distB="0" distL="0" distR="0" wp14:anchorId="4115DD7F" wp14:editId="7DF035FF">
            <wp:extent cx="5238750" cy="4819650"/>
            <wp:effectExtent l="0" t="0" r="0" b="0"/>
            <wp:docPr id="173923895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38950" name="Picture 1" descr="A graph of a number of blue bars&#10;&#10;Description automatically generated"/>
                    <pic:cNvPicPr/>
                  </pic:nvPicPr>
                  <pic:blipFill>
                    <a:blip r:embed="rId13"/>
                    <a:stretch>
                      <a:fillRect/>
                    </a:stretch>
                  </pic:blipFill>
                  <pic:spPr>
                    <a:xfrm>
                      <a:off x="0" y="0"/>
                      <a:ext cx="5238750" cy="4819650"/>
                    </a:xfrm>
                    <a:prstGeom prst="rect">
                      <a:avLst/>
                    </a:prstGeom>
                  </pic:spPr>
                </pic:pic>
              </a:graphicData>
            </a:graphic>
          </wp:inline>
        </w:drawing>
      </w:r>
    </w:p>
    <w:p w14:paraId="7E975A67" w14:textId="7E8E6CB5" w:rsidR="001C1123" w:rsidRDefault="001C1123" w:rsidP="001C1123">
      <w:pPr>
        <w:pStyle w:val="Caption"/>
      </w:pPr>
      <w:r>
        <w:t xml:space="preserve">Figure </w:t>
      </w:r>
      <w:r>
        <w:fldChar w:fldCharType="begin"/>
      </w:r>
      <w:r>
        <w:instrText xml:space="preserve"> SEQ Figure \* ARABIC </w:instrText>
      </w:r>
      <w:r>
        <w:fldChar w:fldCharType="separate"/>
      </w:r>
      <w:r w:rsidR="00D35B2B">
        <w:rPr>
          <w:noProof/>
        </w:rPr>
        <w:t>6</w:t>
      </w:r>
      <w:r>
        <w:fldChar w:fldCharType="end"/>
      </w:r>
      <w:r>
        <w:t xml:space="preserve"> Asset Worth Distribution Graph</w:t>
      </w:r>
    </w:p>
    <w:tbl>
      <w:tblPr>
        <w:tblStyle w:val="TableGrid"/>
        <w:tblW w:w="0" w:type="auto"/>
        <w:tblLook w:val="04A0" w:firstRow="1" w:lastRow="0" w:firstColumn="1" w:lastColumn="0" w:noHBand="0" w:noVBand="1"/>
      </w:tblPr>
      <w:tblGrid>
        <w:gridCol w:w="4508"/>
        <w:gridCol w:w="4508"/>
      </w:tblGrid>
      <w:tr w:rsidR="00587328" w14:paraId="48B3CF65" w14:textId="77777777" w:rsidTr="006D72DB">
        <w:tc>
          <w:tcPr>
            <w:tcW w:w="4508" w:type="dxa"/>
            <w:shd w:val="clear" w:color="auto" w:fill="0070C0"/>
          </w:tcPr>
          <w:p w14:paraId="59BE9A53" w14:textId="32CC0DB3" w:rsidR="00587328" w:rsidRPr="006D72DB" w:rsidRDefault="00587328" w:rsidP="00F71C61">
            <w:pPr>
              <w:rPr>
                <w:b/>
                <w:bCs/>
                <w:color w:val="FFFFFF" w:themeColor="background1"/>
              </w:rPr>
            </w:pPr>
            <w:r w:rsidRPr="006D72DB">
              <w:rPr>
                <w:b/>
                <w:bCs/>
                <w:color w:val="FFFFFF" w:themeColor="background1"/>
              </w:rPr>
              <w:t>Asset Value</w:t>
            </w:r>
          </w:p>
        </w:tc>
        <w:tc>
          <w:tcPr>
            <w:tcW w:w="4508" w:type="dxa"/>
            <w:shd w:val="clear" w:color="auto" w:fill="0070C0"/>
          </w:tcPr>
          <w:p w14:paraId="00333CE5" w14:textId="3ED0F2A9" w:rsidR="00587328" w:rsidRPr="006D72DB" w:rsidRDefault="00587328" w:rsidP="00F71C61">
            <w:pPr>
              <w:rPr>
                <w:b/>
                <w:bCs/>
                <w:color w:val="FFFFFF" w:themeColor="background1"/>
              </w:rPr>
            </w:pPr>
            <w:r w:rsidRPr="006D72DB">
              <w:rPr>
                <w:b/>
                <w:bCs/>
                <w:color w:val="FFFFFF" w:themeColor="background1"/>
              </w:rPr>
              <w:t>Number of Assets</w:t>
            </w:r>
          </w:p>
        </w:tc>
      </w:tr>
      <w:tr w:rsidR="00587328" w14:paraId="07BD7AAB" w14:textId="77777777" w:rsidTr="00587328">
        <w:tc>
          <w:tcPr>
            <w:tcW w:w="4508" w:type="dxa"/>
          </w:tcPr>
          <w:p w14:paraId="352823FE" w14:textId="02D59D99" w:rsidR="00587328" w:rsidRPr="006D72DB" w:rsidRDefault="00587328" w:rsidP="00F71C61">
            <w:pPr>
              <w:rPr>
                <w:b/>
                <w:bCs/>
              </w:rPr>
            </w:pPr>
            <w:r w:rsidRPr="006D72DB">
              <w:rPr>
                <w:b/>
                <w:bCs/>
              </w:rPr>
              <w:t>Very Low</w:t>
            </w:r>
          </w:p>
        </w:tc>
        <w:tc>
          <w:tcPr>
            <w:tcW w:w="4508" w:type="dxa"/>
          </w:tcPr>
          <w:p w14:paraId="5FF9A861" w14:textId="2A171BB6" w:rsidR="00587328" w:rsidRPr="006D72DB" w:rsidRDefault="006D72DB" w:rsidP="00F71C61">
            <w:pPr>
              <w:rPr>
                <w:b/>
                <w:bCs/>
              </w:rPr>
            </w:pPr>
            <w:r w:rsidRPr="006D72DB">
              <w:rPr>
                <w:b/>
                <w:bCs/>
              </w:rPr>
              <w:t>0</w:t>
            </w:r>
          </w:p>
        </w:tc>
      </w:tr>
      <w:tr w:rsidR="00587328" w14:paraId="58051D2A" w14:textId="77777777" w:rsidTr="00587328">
        <w:tc>
          <w:tcPr>
            <w:tcW w:w="4508" w:type="dxa"/>
          </w:tcPr>
          <w:p w14:paraId="0B17950B" w14:textId="41A220B8" w:rsidR="00587328" w:rsidRPr="006D72DB" w:rsidRDefault="00587328" w:rsidP="00F71C61">
            <w:pPr>
              <w:rPr>
                <w:b/>
                <w:bCs/>
              </w:rPr>
            </w:pPr>
            <w:r w:rsidRPr="006D72DB">
              <w:rPr>
                <w:b/>
                <w:bCs/>
              </w:rPr>
              <w:t>Low</w:t>
            </w:r>
          </w:p>
        </w:tc>
        <w:tc>
          <w:tcPr>
            <w:tcW w:w="4508" w:type="dxa"/>
          </w:tcPr>
          <w:p w14:paraId="22BD6CD6" w14:textId="7B79CC40" w:rsidR="00587328" w:rsidRPr="006D72DB" w:rsidRDefault="00F10EDD" w:rsidP="00F71C61">
            <w:pPr>
              <w:rPr>
                <w:b/>
                <w:bCs/>
              </w:rPr>
            </w:pPr>
            <w:r>
              <w:rPr>
                <w:b/>
                <w:bCs/>
              </w:rPr>
              <w:t>2</w:t>
            </w:r>
          </w:p>
        </w:tc>
      </w:tr>
      <w:tr w:rsidR="00587328" w14:paraId="6692DD53" w14:textId="77777777" w:rsidTr="00587328">
        <w:tc>
          <w:tcPr>
            <w:tcW w:w="4508" w:type="dxa"/>
          </w:tcPr>
          <w:p w14:paraId="573CC2C7" w14:textId="3E9DFB34" w:rsidR="00587328" w:rsidRPr="006D72DB" w:rsidRDefault="00587328" w:rsidP="00F71C61">
            <w:pPr>
              <w:rPr>
                <w:b/>
                <w:bCs/>
              </w:rPr>
            </w:pPr>
            <w:r w:rsidRPr="006D72DB">
              <w:rPr>
                <w:b/>
                <w:bCs/>
              </w:rPr>
              <w:t>Medium</w:t>
            </w:r>
          </w:p>
        </w:tc>
        <w:tc>
          <w:tcPr>
            <w:tcW w:w="4508" w:type="dxa"/>
          </w:tcPr>
          <w:p w14:paraId="5109230F" w14:textId="7E541527" w:rsidR="00587328" w:rsidRPr="006D72DB" w:rsidRDefault="00F10EDD" w:rsidP="00F71C61">
            <w:pPr>
              <w:rPr>
                <w:b/>
                <w:bCs/>
              </w:rPr>
            </w:pPr>
            <w:r>
              <w:rPr>
                <w:b/>
                <w:bCs/>
              </w:rPr>
              <w:t>2</w:t>
            </w:r>
          </w:p>
        </w:tc>
      </w:tr>
      <w:tr w:rsidR="00587328" w14:paraId="6CA1A053" w14:textId="77777777" w:rsidTr="00587328">
        <w:tc>
          <w:tcPr>
            <w:tcW w:w="4508" w:type="dxa"/>
          </w:tcPr>
          <w:p w14:paraId="2B41A20E" w14:textId="475DC20F" w:rsidR="00587328" w:rsidRPr="006D72DB" w:rsidRDefault="00587328" w:rsidP="00F71C61">
            <w:pPr>
              <w:rPr>
                <w:b/>
                <w:bCs/>
              </w:rPr>
            </w:pPr>
            <w:r w:rsidRPr="006D72DB">
              <w:rPr>
                <w:b/>
                <w:bCs/>
              </w:rPr>
              <w:t>High</w:t>
            </w:r>
          </w:p>
        </w:tc>
        <w:tc>
          <w:tcPr>
            <w:tcW w:w="4508" w:type="dxa"/>
          </w:tcPr>
          <w:p w14:paraId="0FF2B1F4" w14:textId="4187AABE" w:rsidR="00587328" w:rsidRPr="006D72DB" w:rsidRDefault="00F10EDD" w:rsidP="00F71C61">
            <w:pPr>
              <w:rPr>
                <w:b/>
                <w:bCs/>
              </w:rPr>
            </w:pPr>
            <w:r>
              <w:rPr>
                <w:b/>
                <w:bCs/>
              </w:rPr>
              <w:t>13</w:t>
            </w:r>
          </w:p>
        </w:tc>
      </w:tr>
      <w:tr w:rsidR="00587328" w14:paraId="4FF4FA38" w14:textId="77777777" w:rsidTr="00587328">
        <w:tc>
          <w:tcPr>
            <w:tcW w:w="4508" w:type="dxa"/>
          </w:tcPr>
          <w:p w14:paraId="0F908352" w14:textId="084CFA7C" w:rsidR="00587328" w:rsidRPr="006D72DB" w:rsidRDefault="00587328" w:rsidP="00F71C61">
            <w:pPr>
              <w:rPr>
                <w:b/>
                <w:bCs/>
              </w:rPr>
            </w:pPr>
            <w:r w:rsidRPr="006D72DB">
              <w:rPr>
                <w:b/>
                <w:bCs/>
              </w:rPr>
              <w:t>Very High</w:t>
            </w:r>
          </w:p>
        </w:tc>
        <w:tc>
          <w:tcPr>
            <w:tcW w:w="4508" w:type="dxa"/>
          </w:tcPr>
          <w:p w14:paraId="360A9B4F" w14:textId="33E4A506" w:rsidR="00587328" w:rsidRPr="006D72DB" w:rsidRDefault="00F10EDD" w:rsidP="00F71C61">
            <w:pPr>
              <w:rPr>
                <w:b/>
                <w:bCs/>
              </w:rPr>
            </w:pPr>
            <w:r>
              <w:rPr>
                <w:b/>
                <w:bCs/>
              </w:rPr>
              <w:t>24</w:t>
            </w:r>
          </w:p>
        </w:tc>
      </w:tr>
    </w:tbl>
    <w:p w14:paraId="71428DAD" w14:textId="2D42065C" w:rsidR="00F71C61" w:rsidRPr="00F71C61" w:rsidRDefault="006B18BC" w:rsidP="006B18BC">
      <w:pPr>
        <w:pStyle w:val="Caption"/>
      </w:pPr>
      <w:r>
        <w:t xml:space="preserve">Figure </w:t>
      </w:r>
      <w:r>
        <w:fldChar w:fldCharType="begin"/>
      </w:r>
      <w:r>
        <w:instrText xml:space="preserve"> SEQ Figure \* ARABIC </w:instrText>
      </w:r>
      <w:r>
        <w:fldChar w:fldCharType="separate"/>
      </w:r>
      <w:r w:rsidR="00D35B2B">
        <w:rPr>
          <w:noProof/>
        </w:rPr>
        <w:t>7</w:t>
      </w:r>
      <w:r>
        <w:fldChar w:fldCharType="end"/>
      </w:r>
      <w:r>
        <w:t xml:space="preserve"> Asset Value Count</w:t>
      </w:r>
    </w:p>
    <w:p w14:paraId="22A3A2F9" w14:textId="77777777" w:rsidR="00F57F4E" w:rsidRPr="00F57F4E" w:rsidRDefault="00F57F4E" w:rsidP="00F57F4E"/>
    <w:p w14:paraId="464DC6AB" w14:textId="30F9F130" w:rsidR="00CA0C57" w:rsidRDefault="00FA0A20" w:rsidP="00CA0C57">
      <w:pPr>
        <w:pStyle w:val="Heading2"/>
        <w:rPr>
          <w:color w:val="0070C0"/>
        </w:rPr>
      </w:pPr>
      <w:bookmarkStart w:id="7" w:name="_Toc183690941"/>
      <w:r>
        <w:rPr>
          <w:color w:val="0070C0"/>
        </w:rPr>
        <w:lastRenderedPageBreak/>
        <w:t xml:space="preserve">Risks &amp; </w:t>
      </w:r>
      <w:r w:rsidR="003D0D6E">
        <w:rPr>
          <w:color w:val="0070C0"/>
        </w:rPr>
        <w:t>Vulnerabilities</w:t>
      </w:r>
      <w:bookmarkEnd w:id="7"/>
    </w:p>
    <w:p w14:paraId="1457B393" w14:textId="77777777" w:rsidR="00583AC8" w:rsidRDefault="00583AC8" w:rsidP="00583AC8">
      <w:pPr>
        <w:keepNext/>
      </w:pPr>
      <w:r>
        <w:rPr>
          <w:noProof/>
        </w:rPr>
        <w:drawing>
          <wp:inline distT="0" distB="0" distL="0" distR="0" wp14:anchorId="502F0CF9" wp14:editId="6EA1D4CA">
            <wp:extent cx="5219700" cy="4743450"/>
            <wp:effectExtent l="0" t="0" r="0" b="0"/>
            <wp:docPr id="210563513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5132" name="Picture 1" descr="A graph of a number of bars&#10;&#10;Description automatically generated with medium confidence"/>
                    <pic:cNvPicPr/>
                  </pic:nvPicPr>
                  <pic:blipFill>
                    <a:blip r:embed="rId14"/>
                    <a:stretch>
                      <a:fillRect/>
                    </a:stretch>
                  </pic:blipFill>
                  <pic:spPr>
                    <a:xfrm>
                      <a:off x="0" y="0"/>
                      <a:ext cx="5219700" cy="4743450"/>
                    </a:xfrm>
                    <a:prstGeom prst="rect">
                      <a:avLst/>
                    </a:prstGeom>
                  </pic:spPr>
                </pic:pic>
              </a:graphicData>
            </a:graphic>
          </wp:inline>
        </w:drawing>
      </w:r>
    </w:p>
    <w:p w14:paraId="353B4F96" w14:textId="1A6EBA0F" w:rsidR="00547C2A" w:rsidRDefault="00583AC8" w:rsidP="00583AC8">
      <w:pPr>
        <w:pStyle w:val="Caption"/>
      </w:pPr>
      <w:r>
        <w:t xml:space="preserve">Figure </w:t>
      </w:r>
      <w:r>
        <w:fldChar w:fldCharType="begin"/>
      </w:r>
      <w:r>
        <w:instrText xml:space="preserve"> SEQ Figure \* ARABIC </w:instrText>
      </w:r>
      <w:r>
        <w:fldChar w:fldCharType="separate"/>
      </w:r>
      <w:r w:rsidR="00D35B2B">
        <w:rPr>
          <w:noProof/>
        </w:rPr>
        <w:t>8</w:t>
      </w:r>
      <w:r>
        <w:fldChar w:fldCharType="end"/>
      </w:r>
      <w:r>
        <w:t xml:space="preserve"> Distribution of Risks Graph</w:t>
      </w:r>
    </w:p>
    <w:p w14:paraId="13730B53" w14:textId="0EDA1BC2" w:rsidR="00772F49" w:rsidRDefault="00AF2CA2" w:rsidP="00EB503D">
      <w:r>
        <w:t>De</w:t>
      </w:r>
      <w:r w:rsidR="00C20AC0">
        <w:t>rived from the InnoVAR case study, there</w:t>
      </w:r>
      <w:r w:rsidR="002D393D">
        <w:t xml:space="preserve"> are</w:t>
      </w:r>
      <w:r w:rsidR="00173383">
        <w:t xml:space="preserve"> 159 total potent</w:t>
      </w:r>
      <w:r w:rsidR="00D81343">
        <w:t>ial risks</w:t>
      </w:r>
      <w:r w:rsidR="009F2CCD">
        <w:t>, detailed as followed</w:t>
      </w:r>
      <w:r w:rsidR="00C20AC0">
        <w:t>:</w:t>
      </w:r>
    </w:p>
    <w:tbl>
      <w:tblPr>
        <w:tblStyle w:val="TableGrid"/>
        <w:tblW w:w="0" w:type="auto"/>
        <w:tblLook w:val="04A0" w:firstRow="1" w:lastRow="0" w:firstColumn="1" w:lastColumn="0" w:noHBand="0" w:noVBand="1"/>
      </w:tblPr>
      <w:tblGrid>
        <w:gridCol w:w="4508"/>
        <w:gridCol w:w="4508"/>
      </w:tblGrid>
      <w:tr w:rsidR="0014387E" w14:paraId="2D40C77C" w14:textId="77777777" w:rsidTr="0014387E">
        <w:tc>
          <w:tcPr>
            <w:tcW w:w="4508" w:type="dxa"/>
            <w:shd w:val="clear" w:color="auto" w:fill="0070C0"/>
          </w:tcPr>
          <w:p w14:paraId="326ABF14" w14:textId="3DDCEF7D" w:rsidR="0014387E" w:rsidRPr="0014387E" w:rsidRDefault="0014387E" w:rsidP="00EB503D">
            <w:pPr>
              <w:rPr>
                <w:b/>
                <w:bCs/>
                <w:color w:val="FFFFFF" w:themeColor="background1"/>
              </w:rPr>
            </w:pPr>
            <w:r w:rsidRPr="0014387E">
              <w:rPr>
                <w:b/>
                <w:bCs/>
                <w:color w:val="FFFFFF" w:themeColor="background1"/>
              </w:rPr>
              <w:t>Risk Value</w:t>
            </w:r>
          </w:p>
        </w:tc>
        <w:tc>
          <w:tcPr>
            <w:tcW w:w="4508" w:type="dxa"/>
            <w:shd w:val="clear" w:color="auto" w:fill="0070C0"/>
          </w:tcPr>
          <w:p w14:paraId="44312AB9" w14:textId="48F4156A" w:rsidR="0014387E" w:rsidRPr="0014387E" w:rsidRDefault="0014387E" w:rsidP="00EB503D">
            <w:pPr>
              <w:rPr>
                <w:b/>
                <w:bCs/>
                <w:color w:val="FFFFFF" w:themeColor="background1"/>
              </w:rPr>
            </w:pPr>
            <w:r w:rsidRPr="0014387E">
              <w:rPr>
                <w:b/>
                <w:bCs/>
                <w:color w:val="FFFFFF" w:themeColor="background1"/>
              </w:rPr>
              <w:t>Number of Risks</w:t>
            </w:r>
          </w:p>
        </w:tc>
      </w:tr>
      <w:tr w:rsidR="0014387E" w14:paraId="32D21023" w14:textId="77777777" w:rsidTr="0014387E">
        <w:tc>
          <w:tcPr>
            <w:tcW w:w="4508" w:type="dxa"/>
          </w:tcPr>
          <w:p w14:paraId="2931B671" w14:textId="4E243AE0" w:rsidR="0014387E" w:rsidRPr="00C14361" w:rsidRDefault="0014387E" w:rsidP="00EB503D">
            <w:pPr>
              <w:rPr>
                <w:b/>
                <w:bCs/>
                <w:color w:val="000000" w:themeColor="text1"/>
              </w:rPr>
            </w:pPr>
            <w:r w:rsidRPr="00C14361">
              <w:rPr>
                <w:b/>
                <w:bCs/>
                <w:color w:val="000000" w:themeColor="text1"/>
              </w:rPr>
              <w:t>Very Low</w:t>
            </w:r>
          </w:p>
        </w:tc>
        <w:tc>
          <w:tcPr>
            <w:tcW w:w="4508" w:type="dxa"/>
          </w:tcPr>
          <w:p w14:paraId="7330D115" w14:textId="7021AD66" w:rsidR="0014387E" w:rsidRPr="00C14361" w:rsidRDefault="0014387E" w:rsidP="00EB503D">
            <w:pPr>
              <w:rPr>
                <w:b/>
                <w:bCs/>
              </w:rPr>
            </w:pPr>
            <w:r w:rsidRPr="00C14361">
              <w:rPr>
                <w:b/>
                <w:bCs/>
              </w:rPr>
              <w:t>0</w:t>
            </w:r>
          </w:p>
        </w:tc>
      </w:tr>
      <w:tr w:rsidR="0014387E" w14:paraId="6C182459" w14:textId="77777777" w:rsidTr="0014387E">
        <w:tc>
          <w:tcPr>
            <w:tcW w:w="4508" w:type="dxa"/>
          </w:tcPr>
          <w:p w14:paraId="3FC1CBC8" w14:textId="32CCB481" w:rsidR="0014387E" w:rsidRPr="00C14361" w:rsidRDefault="0014387E" w:rsidP="00EB503D">
            <w:pPr>
              <w:rPr>
                <w:b/>
                <w:bCs/>
              </w:rPr>
            </w:pPr>
            <w:r w:rsidRPr="00C14361">
              <w:rPr>
                <w:b/>
                <w:bCs/>
              </w:rPr>
              <w:t>Low</w:t>
            </w:r>
          </w:p>
        </w:tc>
        <w:tc>
          <w:tcPr>
            <w:tcW w:w="4508" w:type="dxa"/>
          </w:tcPr>
          <w:p w14:paraId="08B392EC" w14:textId="1F5D66BF" w:rsidR="0014387E" w:rsidRPr="00C14361" w:rsidRDefault="0014387E" w:rsidP="00EB503D">
            <w:pPr>
              <w:rPr>
                <w:b/>
                <w:bCs/>
              </w:rPr>
            </w:pPr>
            <w:r w:rsidRPr="00C14361">
              <w:rPr>
                <w:b/>
                <w:bCs/>
              </w:rPr>
              <w:t>10</w:t>
            </w:r>
          </w:p>
        </w:tc>
      </w:tr>
      <w:tr w:rsidR="0014387E" w14:paraId="4FC82C77" w14:textId="77777777" w:rsidTr="0014387E">
        <w:tc>
          <w:tcPr>
            <w:tcW w:w="4508" w:type="dxa"/>
          </w:tcPr>
          <w:p w14:paraId="75376882" w14:textId="46B63103" w:rsidR="0014387E" w:rsidRPr="00C14361" w:rsidRDefault="0014387E" w:rsidP="00EB503D">
            <w:pPr>
              <w:rPr>
                <w:b/>
                <w:bCs/>
              </w:rPr>
            </w:pPr>
            <w:r w:rsidRPr="00C14361">
              <w:rPr>
                <w:b/>
                <w:bCs/>
              </w:rPr>
              <w:t>Medium</w:t>
            </w:r>
          </w:p>
        </w:tc>
        <w:tc>
          <w:tcPr>
            <w:tcW w:w="4508" w:type="dxa"/>
          </w:tcPr>
          <w:p w14:paraId="69B13EEE" w14:textId="4BAC1CB0" w:rsidR="0014387E" w:rsidRPr="00C14361" w:rsidRDefault="0014387E" w:rsidP="00EB503D">
            <w:pPr>
              <w:rPr>
                <w:b/>
                <w:bCs/>
              </w:rPr>
            </w:pPr>
            <w:r w:rsidRPr="00C14361">
              <w:rPr>
                <w:b/>
                <w:bCs/>
              </w:rPr>
              <w:t>28</w:t>
            </w:r>
          </w:p>
        </w:tc>
      </w:tr>
      <w:tr w:rsidR="0014387E" w14:paraId="26877391" w14:textId="77777777" w:rsidTr="0014387E">
        <w:tc>
          <w:tcPr>
            <w:tcW w:w="4508" w:type="dxa"/>
          </w:tcPr>
          <w:p w14:paraId="4D5EC2AC" w14:textId="5E85BBE2" w:rsidR="0014387E" w:rsidRPr="00C14361" w:rsidRDefault="0014387E" w:rsidP="00EB503D">
            <w:pPr>
              <w:rPr>
                <w:b/>
                <w:bCs/>
              </w:rPr>
            </w:pPr>
            <w:r w:rsidRPr="00C14361">
              <w:rPr>
                <w:b/>
                <w:bCs/>
              </w:rPr>
              <w:t>High</w:t>
            </w:r>
          </w:p>
        </w:tc>
        <w:tc>
          <w:tcPr>
            <w:tcW w:w="4508" w:type="dxa"/>
          </w:tcPr>
          <w:p w14:paraId="475F1A79" w14:textId="29947621" w:rsidR="0014387E" w:rsidRPr="00C14361" w:rsidRDefault="0014387E" w:rsidP="00EB503D">
            <w:pPr>
              <w:rPr>
                <w:b/>
                <w:bCs/>
              </w:rPr>
            </w:pPr>
            <w:r w:rsidRPr="00C14361">
              <w:rPr>
                <w:b/>
                <w:bCs/>
              </w:rPr>
              <w:t>97</w:t>
            </w:r>
          </w:p>
        </w:tc>
      </w:tr>
      <w:tr w:rsidR="0014387E" w14:paraId="71B1E032" w14:textId="77777777" w:rsidTr="0014387E">
        <w:tc>
          <w:tcPr>
            <w:tcW w:w="4508" w:type="dxa"/>
          </w:tcPr>
          <w:p w14:paraId="356952D3" w14:textId="0ED3D867" w:rsidR="0014387E" w:rsidRPr="00C14361" w:rsidRDefault="0014387E" w:rsidP="00EB503D">
            <w:pPr>
              <w:rPr>
                <w:b/>
                <w:bCs/>
              </w:rPr>
            </w:pPr>
            <w:r w:rsidRPr="00C14361">
              <w:rPr>
                <w:b/>
                <w:bCs/>
              </w:rPr>
              <w:t>Very High</w:t>
            </w:r>
          </w:p>
        </w:tc>
        <w:tc>
          <w:tcPr>
            <w:tcW w:w="4508" w:type="dxa"/>
          </w:tcPr>
          <w:p w14:paraId="249B37A1" w14:textId="5F31DEA9" w:rsidR="0014387E" w:rsidRPr="00C14361" w:rsidRDefault="0014387E" w:rsidP="00EB503D">
            <w:pPr>
              <w:rPr>
                <w:b/>
                <w:bCs/>
              </w:rPr>
            </w:pPr>
            <w:r w:rsidRPr="00C14361">
              <w:rPr>
                <w:b/>
                <w:bCs/>
              </w:rPr>
              <w:t>24</w:t>
            </w:r>
          </w:p>
        </w:tc>
      </w:tr>
    </w:tbl>
    <w:p w14:paraId="0AF809C9" w14:textId="37239B20" w:rsidR="0014387E" w:rsidRDefault="00791CE9" w:rsidP="00791CE9">
      <w:pPr>
        <w:pStyle w:val="Caption"/>
      </w:pPr>
      <w:r>
        <w:t xml:space="preserve">Figure </w:t>
      </w:r>
      <w:r>
        <w:fldChar w:fldCharType="begin"/>
      </w:r>
      <w:r>
        <w:instrText xml:space="preserve"> SEQ Figure \* ARABIC </w:instrText>
      </w:r>
      <w:r>
        <w:fldChar w:fldCharType="separate"/>
      </w:r>
      <w:r w:rsidR="00D35B2B">
        <w:rPr>
          <w:noProof/>
        </w:rPr>
        <w:t>9</w:t>
      </w:r>
      <w:r>
        <w:fldChar w:fldCharType="end"/>
      </w:r>
      <w:r>
        <w:t xml:space="preserve"> Risk Value Count</w:t>
      </w:r>
    </w:p>
    <w:p w14:paraId="2CA07DE3" w14:textId="153AECEA" w:rsidR="00C14361" w:rsidRPr="00C14361" w:rsidRDefault="00C14361" w:rsidP="00C14361">
      <w:r>
        <w:t>High Risk</w:t>
      </w:r>
      <w:r w:rsidR="00F13698">
        <w:t xml:space="preserve"> and Very High Risk</w:t>
      </w:r>
      <w:r>
        <w:t xml:space="preserve"> areas</w:t>
      </w:r>
      <w:r w:rsidR="00B11896">
        <w:t xml:space="preserve"> means that</w:t>
      </w:r>
      <w:r w:rsidR="00F13698">
        <w:t xml:space="preserve"> there is a high likelihood of a threat exploiting a vulnerability of an asset, resulting in substantial impact for InnoVAR.</w:t>
      </w:r>
    </w:p>
    <w:p w14:paraId="2AA67590" w14:textId="020B666D" w:rsidR="00BB227D" w:rsidRDefault="002F6F7C" w:rsidP="002129C6">
      <w:r>
        <w:t>Vulnerabilities were ranked based upon</w:t>
      </w:r>
      <w:r w:rsidR="007E7AB1">
        <w:t xml:space="preserve"> </w:t>
      </w:r>
      <w:r w:rsidR="007E7AB1" w:rsidRPr="007E7AB1">
        <w:rPr>
          <w:i/>
          <w:iCs/>
          <w:color w:val="0070C0"/>
        </w:rPr>
        <w:fldChar w:fldCharType="begin"/>
      </w:r>
      <w:r w:rsidR="007E7AB1" w:rsidRPr="007E7AB1">
        <w:rPr>
          <w:i/>
          <w:iCs/>
          <w:color w:val="0070C0"/>
        </w:rPr>
        <w:instrText xml:space="preserve"> REF _Ref183649185 \h  \* MERGEFORMAT </w:instrText>
      </w:r>
      <w:r w:rsidR="007E7AB1" w:rsidRPr="007E7AB1">
        <w:rPr>
          <w:i/>
          <w:iCs/>
          <w:color w:val="0070C0"/>
        </w:rPr>
      </w:r>
      <w:r w:rsidR="007E7AB1" w:rsidRPr="007E7AB1">
        <w:rPr>
          <w:i/>
          <w:iCs/>
          <w:color w:val="0070C0"/>
        </w:rPr>
        <w:fldChar w:fldCharType="separate"/>
      </w:r>
      <w:r w:rsidR="00D35B2B" w:rsidRPr="00D35B2B">
        <w:rPr>
          <w:i/>
          <w:iCs/>
          <w:color w:val="0070C0"/>
        </w:rPr>
        <w:t xml:space="preserve">Figure </w:t>
      </w:r>
      <w:r w:rsidR="00D35B2B" w:rsidRPr="00D35B2B">
        <w:rPr>
          <w:i/>
          <w:iCs/>
          <w:noProof/>
          <w:color w:val="0070C0"/>
        </w:rPr>
        <w:t>2</w:t>
      </w:r>
      <w:r w:rsidR="00D35B2B" w:rsidRPr="00D35B2B">
        <w:rPr>
          <w:i/>
          <w:iCs/>
          <w:color w:val="0070C0"/>
        </w:rPr>
        <w:t xml:space="preserve"> Vulnerability Ranking</w:t>
      </w:r>
      <w:r w:rsidR="007E7AB1" w:rsidRPr="007E7AB1">
        <w:rPr>
          <w:i/>
          <w:iCs/>
          <w:color w:val="0070C0"/>
        </w:rPr>
        <w:fldChar w:fldCharType="end"/>
      </w:r>
      <w:r w:rsidR="00CD15B2">
        <w:t xml:space="preserve">, </w:t>
      </w:r>
      <w:r w:rsidR="008E146E">
        <w:t>with Common Vulnerabilities and Exposures (CVE) ranked against</w:t>
      </w:r>
      <w:r w:rsidR="00CD1709">
        <w:t xml:space="preserve"> the NVD CVSS, and then converted to</w:t>
      </w:r>
      <w:r w:rsidR="00D203FB">
        <w:t xml:space="preserve"> </w:t>
      </w:r>
      <w:r w:rsidR="00D203FB" w:rsidRPr="00D203FB">
        <w:rPr>
          <w:i/>
          <w:iCs/>
          <w:color w:val="0070C0"/>
        </w:rPr>
        <w:fldChar w:fldCharType="begin"/>
      </w:r>
      <w:r w:rsidR="00D203FB" w:rsidRPr="00D203FB">
        <w:rPr>
          <w:i/>
          <w:iCs/>
          <w:color w:val="0070C0"/>
        </w:rPr>
        <w:instrText xml:space="preserve"> REF _Ref183649185 \h  \* MERGEFORMAT </w:instrText>
      </w:r>
      <w:r w:rsidR="00D203FB" w:rsidRPr="00D203FB">
        <w:rPr>
          <w:i/>
          <w:iCs/>
          <w:color w:val="0070C0"/>
        </w:rPr>
      </w:r>
      <w:r w:rsidR="00D203FB" w:rsidRPr="00D203FB">
        <w:rPr>
          <w:i/>
          <w:iCs/>
          <w:color w:val="0070C0"/>
        </w:rPr>
        <w:fldChar w:fldCharType="separate"/>
      </w:r>
      <w:r w:rsidR="00D35B2B" w:rsidRPr="00D35B2B">
        <w:rPr>
          <w:i/>
          <w:iCs/>
          <w:color w:val="0070C0"/>
        </w:rPr>
        <w:t xml:space="preserve">Figure </w:t>
      </w:r>
      <w:r w:rsidR="00D35B2B" w:rsidRPr="00D35B2B">
        <w:rPr>
          <w:i/>
          <w:iCs/>
          <w:noProof/>
          <w:color w:val="0070C0"/>
        </w:rPr>
        <w:t>2</w:t>
      </w:r>
      <w:r w:rsidR="00D35B2B" w:rsidRPr="00D35B2B">
        <w:rPr>
          <w:i/>
          <w:iCs/>
          <w:color w:val="0070C0"/>
        </w:rPr>
        <w:t xml:space="preserve"> Vulnerability Ranking</w:t>
      </w:r>
      <w:r w:rsidR="00D203FB" w:rsidRPr="00D203FB">
        <w:rPr>
          <w:i/>
          <w:iCs/>
          <w:color w:val="0070C0"/>
        </w:rPr>
        <w:fldChar w:fldCharType="end"/>
      </w:r>
      <w:r w:rsidR="00D203FB">
        <w:t xml:space="preserve"> appropriately.</w:t>
      </w:r>
    </w:p>
    <w:p w14:paraId="3E78BEAE" w14:textId="77777777" w:rsidR="0062425B" w:rsidRPr="0062425B" w:rsidRDefault="0062425B" w:rsidP="0062425B">
      <w:r>
        <w:lastRenderedPageBreak/>
        <w:t xml:space="preserve">The NVD CVSS </w:t>
      </w:r>
      <w:r w:rsidRPr="0062425B">
        <w:t>(NIST, 2022)</w:t>
      </w:r>
    </w:p>
    <w:p w14:paraId="72017C99" w14:textId="77777777" w:rsidR="004248E2" w:rsidRDefault="004248E2" w:rsidP="004248E2">
      <w:pPr>
        <w:keepNext/>
      </w:pPr>
      <w:r>
        <w:rPr>
          <w:noProof/>
        </w:rPr>
        <w:drawing>
          <wp:inline distT="0" distB="0" distL="0" distR="0" wp14:anchorId="119D8B3D" wp14:editId="0D8196BC">
            <wp:extent cx="5731510" cy="1359535"/>
            <wp:effectExtent l="0" t="0" r="2540" b="0"/>
            <wp:docPr id="13658244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4419" name="Picture 1" descr="A screenshot of a graph&#10;&#10;Description automatically generated"/>
                    <pic:cNvPicPr/>
                  </pic:nvPicPr>
                  <pic:blipFill>
                    <a:blip r:embed="rId15"/>
                    <a:stretch>
                      <a:fillRect/>
                    </a:stretch>
                  </pic:blipFill>
                  <pic:spPr>
                    <a:xfrm>
                      <a:off x="0" y="0"/>
                      <a:ext cx="5731510" cy="1359535"/>
                    </a:xfrm>
                    <a:prstGeom prst="rect">
                      <a:avLst/>
                    </a:prstGeom>
                  </pic:spPr>
                </pic:pic>
              </a:graphicData>
            </a:graphic>
          </wp:inline>
        </w:drawing>
      </w:r>
    </w:p>
    <w:p w14:paraId="00A7AEFA" w14:textId="6D278BB7" w:rsidR="00BB227D" w:rsidRDefault="004248E2" w:rsidP="004248E2">
      <w:pPr>
        <w:pStyle w:val="Caption"/>
      </w:pPr>
      <w:r>
        <w:t xml:space="preserve">Figure </w:t>
      </w:r>
      <w:r>
        <w:fldChar w:fldCharType="begin"/>
      </w:r>
      <w:r>
        <w:instrText xml:space="preserve"> SEQ Figure \* ARABIC </w:instrText>
      </w:r>
      <w:r>
        <w:fldChar w:fldCharType="separate"/>
      </w:r>
      <w:r w:rsidR="00D35B2B">
        <w:rPr>
          <w:noProof/>
        </w:rPr>
        <w:t>10</w:t>
      </w:r>
      <w:r>
        <w:fldChar w:fldCharType="end"/>
      </w:r>
      <w:r>
        <w:t xml:space="preserve"> CVSS Scoring System</w:t>
      </w:r>
    </w:p>
    <w:p w14:paraId="71385D5B" w14:textId="56BDA794" w:rsidR="00430E05" w:rsidRDefault="005E5085" w:rsidP="00842ACA">
      <w:r>
        <w:t xml:space="preserve">In </w:t>
      </w:r>
      <w:r w:rsidR="003E2A14">
        <w:t>total there are</w:t>
      </w:r>
      <w:r w:rsidR="00925791">
        <w:t xml:space="preserve"> </w:t>
      </w:r>
      <w:r w:rsidR="00925791" w:rsidRPr="00925791">
        <w:rPr>
          <w:b/>
          <w:bCs/>
        </w:rPr>
        <w:t>37 unique vulnerabilities</w:t>
      </w:r>
      <w:r w:rsidR="00925791">
        <w:t>, ranging across all asset categories.</w:t>
      </w:r>
      <w:r w:rsidR="001E6EEA">
        <w:t xml:space="preserve"> There are </w:t>
      </w:r>
      <w:r w:rsidR="00445752">
        <w:rPr>
          <w:b/>
          <w:bCs/>
        </w:rPr>
        <w:t xml:space="preserve">9 </w:t>
      </w:r>
      <w:r w:rsidR="00F638FF">
        <w:t>Critical vulnerabilities</w:t>
      </w:r>
      <w:r w:rsidR="006176C0">
        <w:t>. These vulnerabilities should be addressed fist, as they pose the biggest threat to InnoVAR</w:t>
      </w:r>
      <w:r w:rsidR="00955F63">
        <w:t xml:space="preserve">. </w:t>
      </w:r>
    </w:p>
    <w:p w14:paraId="442B8BBA" w14:textId="77777777" w:rsidR="00430E05" w:rsidRDefault="00430E05" w:rsidP="00842ACA"/>
    <w:p w14:paraId="65D0BE71" w14:textId="17D5AB70" w:rsidR="00430E05" w:rsidRPr="009A456C" w:rsidRDefault="00430E05" w:rsidP="009A456C">
      <w:pPr>
        <w:pStyle w:val="Subtitle"/>
        <w:rPr>
          <w:color w:val="0070C0"/>
        </w:rPr>
      </w:pPr>
      <w:r w:rsidRPr="00430E05">
        <w:rPr>
          <w:color w:val="0070C0"/>
        </w:rPr>
        <w:t xml:space="preserve">Critical </w:t>
      </w:r>
      <w:r>
        <w:rPr>
          <w:color w:val="0070C0"/>
        </w:rPr>
        <w:t>V</w:t>
      </w:r>
      <w:r w:rsidRPr="00430E05">
        <w:rPr>
          <w:color w:val="0070C0"/>
        </w:rPr>
        <w:t>ulnerabilities</w:t>
      </w:r>
    </w:p>
    <w:p w14:paraId="56E365E9" w14:textId="77CF1603" w:rsidR="007E550F" w:rsidRDefault="00222ECE" w:rsidP="00430E05">
      <w:pPr>
        <w:rPr>
          <w:b/>
          <w:bCs/>
        </w:rPr>
      </w:pPr>
      <w:r>
        <w:rPr>
          <w:b/>
          <w:bCs/>
        </w:rPr>
        <w:t>Remote Local Administrator Access</w:t>
      </w:r>
    </w:p>
    <w:p w14:paraId="7E4560A5" w14:textId="5B0A10B8" w:rsidR="00DD6F63" w:rsidRDefault="00FF35BB" w:rsidP="00430E05">
      <w:r>
        <w:t>Employee</w:t>
      </w:r>
      <w:r w:rsidR="004A718F">
        <w:t>s using personal device</w:t>
      </w:r>
      <w:r w:rsidR="008373EC">
        <w:t xml:space="preserve">s </w:t>
      </w:r>
      <w:r w:rsidR="000A25BF">
        <w:t>with</w:t>
      </w:r>
      <w:r w:rsidR="008373EC">
        <w:t xml:space="preserve"> local administrator capabilities w</w:t>
      </w:r>
      <w:r w:rsidR="000A25BF">
        <w:t>hile</w:t>
      </w:r>
      <w:r w:rsidR="008373EC">
        <w:t xml:space="preserve"> working remotely</w:t>
      </w:r>
      <w:r w:rsidR="000A25BF">
        <w:t xml:space="preserve"> present a </w:t>
      </w:r>
      <w:r w:rsidR="00442CE6">
        <w:t>very high risk to the company due to the power</w:t>
      </w:r>
      <w:r w:rsidR="003565DB">
        <w:t xml:space="preserve"> </w:t>
      </w:r>
      <w:r w:rsidR="00442CE6">
        <w:t>granted to th</w:t>
      </w:r>
      <w:r w:rsidR="000A25BF">
        <w:t>e</w:t>
      </w:r>
      <w:r w:rsidR="00442CE6">
        <w:t xml:space="preserve"> device and individual. Having local admin privileges allow</w:t>
      </w:r>
      <w:r w:rsidR="00A0161B">
        <w:t xml:space="preserve"> for the full controls over a device</w:t>
      </w:r>
      <w:r w:rsidR="00B1550E">
        <w:t>, including files, services and directories</w:t>
      </w:r>
      <w:r w:rsidR="00165501">
        <w:t xml:space="preserve">. </w:t>
      </w:r>
      <w:r w:rsidR="00B0202F">
        <w:t>A</w:t>
      </w:r>
      <w:r w:rsidR="006C5EEF">
        <w:t xml:space="preserve"> malicious threat agent</w:t>
      </w:r>
      <w:r w:rsidR="00F02CC8">
        <w:t xml:space="preserve"> exploiting this vulnerability could: </w:t>
      </w:r>
      <w:r w:rsidR="00494115">
        <w:t>disable endpoint antivirus, install malicious software</w:t>
      </w:r>
      <w:r w:rsidR="00954F97">
        <w:t>,</w:t>
      </w:r>
      <w:r w:rsidR="00494115">
        <w:t xml:space="preserve"> </w:t>
      </w:r>
      <w:r w:rsidR="008F6FA2">
        <w:t xml:space="preserve">such as ransomware, pivot to other devices in the network to further an attack and generally weaponize the device </w:t>
      </w:r>
      <w:r w:rsidR="001C7413">
        <w:t>to use against the company</w:t>
      </w:r>
      <w:r w:rsidR="00137312">
        <w:t xml:space="preserve"> </w:t>
      </w:r>
      <w:r w:rsidR="00137312" w:rsidRPr="00137312">
        <w:t>(SBS CyberSecurity, 2021)</w:t>
      </w:r>
      <w:r w:rsidR="00137312">
        <w:t>.</w:t>
      </w:r>
    </w:p>
    <w:p w14:paraId="6C51C1B5" w14:textId="70D1641A" w:rsidR="00B4702C" w:rsidRPr="00B4702C" w:rsidRDefault="00DB70DF" w:rsidP="00430E05">
      <w:r>
        <w:t>The risk and likelihood of this vulnerability being exploited is extremely high, when considering potential threat agents.</w:t>
      </w:r>
      <w:r w:rsidR="00537BC6">
        <w:t xml:space="preserve"> It was declared that InnoVAR recently had several laptops stolen from the offi</w:t>
      </w:r>
      <w:r w:rsidR="009D7179">
        <w:t>ce,</w:t>
      </w:r>
      <w:r w:rsidR="004518EB">
        <w:t xml:space="preserve"> as well as</w:t>
      </w:r>
      <w:r w:rsidR="006802D8">
        <w:t xml:space="preserve"> 10 ex-employees still having access to internal networks and applications. </w:t>
      </w:r>
      <w:r w:rsidR="00655461">
        <w:t>This puts the company at a very high risk</w:t>
      </w:r>
      <w:r w:rsidR="003B5067">
        <w:t xml:space="preserve"> of an attack, with implications being</w:t>
      </w:r>
      <w:r w:rsidR="002374A7">
        <w:t xml:space="preserve"> </w:t>
      </w:r>
      <w:r w:rsidR="003B5067">
        <w:t>catastrophic</w:t>
      </w:r>
      <w:r w:rsidR="002374A7">
        <w:t xml:space="preserve"> and the potential for a total loss of InnoVAR services.</w:t>
      </w:r>
    </w:p>
    <w:p w14:paraId="4CA99E94" w14:textId="45073738" w:rsidR="00222ECE" w:rsidRDefault="00F15AAF" w:rsidP="00430E05">
      <w:pPr>
        <w:rPr>
          <w:b/>
          <w:bCs/>
        </w:rPr>
      </w:pPr>
      <w:r>
        <w:rPr>
          <w:b/>
          <w:bCs/>
        </w:rPr>
        <w:t>Unsecured Data Stored</w:t>
      </w:r>
    </w:p>
    <w:p w14:paraId="67BDFF1E" w14:textId="1300652F" w:rsidR="00004ED6" w:rsidRDefault="004B1A18" w:rsidP="00430E05">
      <w:r>
        <w:t xml:space="preserve">Data </w:t>
      </w:r>
      <w:r w:rsidR="005F0AA2">
        <w:t>is stored in a variety of locations, including an internal cloud architecture, local office file servers</w:t>
      </w:r>
      <w:r w:rsidR="005A78C5">
        <w:t xml:space="preserve"> as well as locally on employee devices and USB drives. It is stated that i</w:t>
      </w:r>
      <w:r w:rsidR="0035578E">
        <w:t xml:space="preserve">t’s the </w:t>
      </w:r>
      <w:r w:rsidR="005A78C5">
        <w:t xml:space="preserve">data </w:t>
      </w:r>
      <w:r w:rsidR="00525579">
        <w:t>owner’s</w:t>
      </w:r>
      <w:r w:rsidR="005A78C5">
        <w:t xml:space="preserve"> discretion whether to </w:t>
      </w:r>
      <w:r w:rsidR="00B67DDF">
        <w:t>secure data, meaning there is</w:t>
      </w:r>
      <w:r w:rsidR="00EB2CCB">
        <w:t xml:space="preserve"> likely sensitive company and customer data that</w:t>
      </w:r>
      <w:r w:rsidR="0035578E">
        <w:t xml:space="preserve"> is vulnerable. </w:t>
      </w:r>
      <w:r w:rsidR="00503A80">
        <w:t>A malicious actor gaining access to this data could result in the introduction of ransomware, the public leaking of customer information, as well</w:t>
      </w:r>
      <w:r w:rsidR="009D02C4">
        <w:t xml:space="preserve"> fraudulent activity from company</w:t>
      </w:r>
      <w:r w:rsidR="00004ED6">
        <w:t xml:space="preserve"> and customer</w:t>
      </w:r>
      <w:r w:rsidR="009D02C4">
        <w:t xml:space="preserve"> financial dat</w:t>
      </w:r>
      <w:r w:rsidR="00004ED6">
        <w:t>a.</w:t>
      </w:r>
    </w:p>
    <w:p w14:paraId="0216B47A" w14:textId="22F971C5" w:rsidR="00004ED6" w:rsidRPr="002829CE" w:rsidRDefault="00004ED6" w:rsidP="00430E05">
      <w:r>
        <w:t>This is very high</w:t>
      </w:r>
      <w:r w:rsidR="004456CD">
        <w:t xml:space="preserve"> risk to InnoVAR, due to the financial, legal and operational impacts data exposure would </w:t>
      </w:r>
      <w:r w:rsidR="00895CAA">
        <w:t>have.</w:t>
      </w:r>
      <w:r w:rsidR="00E178C5">
        <w:t xml:space="preserve"> There </w:t>
      </w:r>
      <w:r w:rsidR="00B91262">
        <w:t>have</w:t>
      </w:r>
      <w:r w:rsidR="00E178C5">
        <w:t xml:space="preserve"> been 2 employees leave InnoVAR to work for its </w:t>
      </w:r>
      <w:r w:rsidR="00E178C5">
        <w:lastRenderedPageBreak/>
        <w:t>biggest competitor, where</w:t>
      </w:r>
      <w:r w:rsidR="00525579">
        <w:t xml:space="preserve"> they recently gained a contract with one of InnoVARs main clients. This suggests that Ex employees have access to unsecured customer contact </w:t>
      </w:r>
      <w:r w:rsidR="00B91262">
        <w:t>details and</w:t>
      </w:r>
      <w:r w:rsidR="00525579">
        <w:t xml:space="preserve"> </w:t>
      </w:r>
      <w:r w:rsidR="00CB33D1">
        <w:t>can</w:t>
      </w:r>
      <w:r w:rsidR="00525579">
        <w:t xml:space="preserve"> use it in a malicious manner, advantages to them.</w:t>
      </w:r>
    </w:p>
    <w:p w14:paraId="25AC8F9F" w14:textId="5ABFC6B8" w:rsidR="00F15AAF" w:rsidRDefault="00F15AAF" w:rsidP="00430E05">
      <w:pPr>
        <w:rPr>
          <w:b/>
          <w:bCs/>
        </w:rPr>
      </w:pPr>
      <w:r>
        <w:rPr>
          <w:b/>
          <w:bCs/>
        </w:rPr>
        <w:t>Unrevoked Access</w:t>
      </w:r>
    </w:p>
    <w:p w14:paraId="0740C104" w14:textId="6FD8EB8C" w:rsidR="00534CE8" w:rsidRPr="009A456C" w:rsidRDefault="00CB33D1" w:rsidP="00430E05">
      <w:r>
        <w:t xml:space="preserve">As stated previously, </w:t>
      </w:r>
      <w:r w:rsidR="001E6285">
        <w:t>it</w:t>
      </w:r>
      <w:r>
        <w:t xml:space="preserve"> has been discovered that</w:t>
      </w:r>
      <w:r w:rsidR="00C85571">
        <w:t xml:space="preserve"> 10 </w:t>
      </w:r>
      <w:r w:rsidR="00534CE8">
        <w:t>ex-employees</w:t>
      </w:r>
      <w:r w:rsidR="00C85571">
        <w:t xml:space="preserve"> still have access to internal networks and applications, posing </w:t>
      </w:r>
      <w:r w:rsidR="00534CE8">
        <w:t>significant threat to the company and putting several assets at risk.</w:t>
      </w:r>
      <w:r w:rsidR="001D6A2C">
        <w:t xml:space="preserve"> Unrevoked access can result in the unauthorised access of data, compromising the CIA Triad, as well as </w:t>
      </w:r>
      <w:r w:rsidR="008E4B2E">
        <w:t xml:space="preserve">access to servers and </w:t>
      </w:r>
      <w:r w:rsidR="00137C41">
        <w:t xml:space="preserve">applications that would have a significant impact on the </w:t>
      </w:r>
      <w:r w:rsidR="004C2D32">
        <w:t>company’s</w:t>
      </w:r>
      <w:r w:rsidR="00137C41">
        <w:t xml:space="preserve"> ability to operate</w:t>
      </w:r>
      <w:r w:rsidR="004C2D32">
        <w:t xml:space="preserve"> </w:t>
      </w:r>
      <w:r w:rsidR="00137C41">
        <w:t>if tampered with.</w:t>
      </w:r>
    </w:p>
    <w:p w14:paraId="401B2FF7" w14:textId="58671C38" w:rsidR="00F15AAF" w:rsidRDefault="00F15AAF" w:rsidP="00430E05">
      <w:pPr>
        <w:rPr>
          <w:b/>
          <w:bCs/>
        </w:rPr>
      </w:pPr>
      <w:r>
        <w:rPr>
          <w:b/>
          <w:bCs/>
        </w:rPr>
        <w:t>Repeated Password Across Networks</w:t>
      </w:r>
    </w:p>
    <w:p w14:paraId="6A6DBD2D" w14:textId="0DE2FF2D" w:rsidR="004F27EA" w:rsidRDefault="00F411FF" w:rsidP="00430E05">
      <w:r>
        <w:t>There are 5 InnoVar offices</w:t>
      </w:r>
      <w:r w:rsidR="00E715EB">
        <w:t xml:space="preserve"> which each have their own decentralized wireless network</w:t>
      </w:r>
      <w:r w:rsidR="005C5485">
        <w:t xml:space="preserve">, as well as virtualized services used for file storage, printing and running applications. The vulnerability comes from the </w:t>
      </w:r>
      <w:r w:rsidR="004E323B">
        <w:t>repeated use of the generic password “</w:t>
      </w:r>
      <w:r w:rsidR="004E323B" w:rsidRPr="00E67A9E">
        <w:rPr>
          <w:i/>
          <w:iCs/>
        </w:rPr>
        <w:t>Spartan2018</w:t>
      </w:r>
      <w:r w:rsidR="004E323B">
        <w:t>”</w:t>
      </w:r>
      <w:r w:rsidR="00E67A9E">
        <w:t>, across all office networks.</w:t>
      </w:r>
    </w:p>
    <w:p w14:paraId="7055C4E1" w14:textId="01E39E6D" w:rsidR="003851C1" w:rsidRPr="00E67A9E" w:rsidRDefault="00821072" w:rsidP="00430E05">
      <w:r>
        <w:t>By having a generic password</w:t>
      </w:r>
      <w:r w:rsidR="00E95DCD">
        <w:t xml:space="preserve"> that is not complex</w:t>
      </w:r>
      <w:r>
        <w:t xml:space="preserve"> across all networks, if a malicious threat agent </w:t>
      </w:r>
      <w:r w:rsidR="0050154C">
        <w:t xml:space="preserve">has gained the knowledge of 1 network password, through means of brute force attack, insider information from previous employees, they now know the password for all </w:t>
      </w:r>
      <w:r w:rsidR="00DB526A">
        <w:t>networks and</w:t>
      </w:r>
      <w:r w:rsidR="0050154C">
        <w:t xml:space="preserve"> can at</w:t>
      </w:r>
      <w:r w:rsidR="009A764A">
        <w:t xml:space="preserve">tempt to attack these too and gain unauthorised access. This puts InnoVAR at a very high risk from this vulnerability, having the potential to impact all services and </w:t>
      </w:r>
      <w:r w:rsidR="00534D73">
        <w:t>operations.</w:t>
      </w:r>
    </w:p>
    <w:p w14:paraId="07EDA43D" w14:textId="4BB2BDFE" w:rsidR="00F15AAF" w:rsidRDefault="00F15AAF" w:rsidP="00430E05">
      <w:pPr>
        <w:rPr>
          <w:b/>
          <w:bCs/>
        </w:rPr>
      </w:pPr>
      <w:r>
        <w:rPr>
          <w:b/>
          <w:bCs/>
        </w:rPr>
        <w:t xml:space="preserve">No Logical Access Controls </w:t>
      </w:r>
      <w:r w:rsidR="001E43CC">
        <w:rPr>
          <w:b/>
          <w:bCs/>
        </w:rPr>
        <w:t>from</w:t>
      </w:r>
      <w:r>
        <w:rPr>
          <w:b/>
          <w:bCs/>
        </w:rPr>
        <w:t xml:space="preserve"> Office Network</w:t>
      </w:r>
    </w:p>
    <w:p w14:paraId="048CA390" w14:textId="02BE91D0" w:rsidR="001D30F2" w:rsidRPr="0047707C" w:rsidRDefault="00A91754" w:rsidP="00430E05">
      <w:r>
        <w:t>Whilst there is a separation between the</w:t>
      </w:r>
      <w:r w:rsidR="00D71268">
        <w:t xml:space="preserve"> office networks and live production networks, </w:t>
      </w:r>
      <w:r w:rsidR="00710462">
        <w:t>it</w:t>
      </w:r>
      <w:r w:rsidR="00D71268">
        <w:t xml:space="preserve"> appears that the production network is directly connected without any form of logical access control. This means that</w:t>
      </w:r>
      <w:r w:rsidR="00C04E87">
        <w:t xml:space="preserve"> if there were to be</w:t>
      </w:r>
      <w:r w:rsidR="0080342D">
        <w:t xml:space="preserve"> an unauthorized access to any office network, the bad actor would also easily have access to the production network. From there they could carry out</w:t>
      </w:r>
      <w:r w:rsidR="00472B6B">
        <w:t xml:space="preserve"> numerous </w:t>
      </w:r>
      <w:r w:rsidR="0080342D">
        <w:t>attacks, such as data deletion and leaki</w:t>
      </w:r>
      <w:r w:rsidR="00CA32F8">
        <w:t xml:space="preserve">ng as well as shutting down services and applications. </w:t>
      </w:r>
      <w:r w:rsidR="003D00FC">
        <w:t>Being connected to the production network, a bad actor may also have access to all other connected office networks.</w:t>
      </w:r>
    </w:p>
    <w:p w14:paraId="53E6E176" w14:textId="12A8BEBF" w:rsidR="00DB526A" w:rsidRDefault="00F15AAF" w:rsidP="00430E05">
      <w:pPr>
        <w:rPr>
          <w:b/>
          <w:bCs/>
        </w:rPr>
      </w:pPr>
      <w:r>
        <w:rPr>
          <w:b/>
          <w:bCs/>
        </w:rPr>
        <w:t xml:space="preserve">Repeated Password Used </w:t>
      </w:r>
      <w:r w:rsidR="001E43CC">
        <w:rPr>
          <w:b/>
          <w:bCs/>
        </w:rPr>
        <w:t>for</w:t>
      </w:r>
      <w:r>
        <w:rPr>
          <w:b/>
          <w:bCs/>
        </w:rPr>
        <w:t xml:space="preserve"> Resets</w:t>
      </w:r>
    </w:p>
    <w:p w14:paraId="7A4D4FF2" w14:textId="7CFFF74E" w:rsidR="00E8449E" w:rsidRDefault="00611B46" w:rsidP="00430E05">
      <w:r>
        <w:t>Password</w:t>
      </w:r>
      <w:r w:rsidR="00751A02">
        <w:t xml:space="preserve"> resets provided by the IT </w:t>
      </w:r>
      <w:r w:rsidR="005372C7">
        <w:t>dep</w:t>
      </w:r>
      <w:r w:rsidR="00AE3614">
        <w:t>artment are carried out the repeated password “</w:t>
      </w:r>
      <w:r w:rsidR="00AE3614">
        <w:rPr>
          <w:i/>
          <w:iCs/>
        </w:rPr>
        <w:t>InnoVAR2020</w:t>
      </w:r>
      <w:r w:rsidR="00AE3614">
        <w:t>”</w:t>
      </w:r>
      <w:r w:rsidR="00E95DCD">
        <w:t>.</w:t>
      </w:r>
    </w:p>
    <w:p w14:paraId="11DFAD2C" w14:textId="19C98065" w:rsidR="007A4CA3" w:rsidRPr="00AE3614" w:rsidRDefault="00A473AC" w:rsidP="00430E05">
      <w:r>
        <w:t xml:space="preserve">This vulnerability can be leveraged by numerous threats, such as </w:t>
      </w:r>
      <w:r w:rsidR="00DF5F90">
        <w:t>ex-employees</w:t>
      </w:r>
      <w:r w:rsidR="00413E4A">
        <w:t xml:space="preserve"> acting maliciously or on behalf of a competitor.</w:t>
      </w:r>
      <w:r w:rsidR="00DF5F90">
        <w:t xml:space="preserve"> By knowing the </w:t>
      </w:r>
      <w:r w:rsidR="00780F76">
        <w:t xml:space="preserve">password, </w:t>
      </w:r>
      <w:r w:rsidR="005515C1">
        <w:t xml:space="preserve">bad actors </w:t>
      </w:r>
      <w:r w:rsidR="00780F76">
        <w:t>could exploit this vulnerability with social engineering, phishing or vishing to</w:t>
      </w:r>
      <w:r w:rsidR="00266C63">
        <w:t xml:space="preserve"> get an account</w:t>
      </w:r>
      <w:r w:rsidR="005515C1">
        <w:t xml:space="preserve">s password reset. From there </w:t>
      </w:r>
      <w:r w:rsidR="00A01F47">
        <w:t>a</w:t>
      </w:r>
      <w:r w:rsidR="005515C1">
        <w:t xml:space="preserve"> bad actor would be able to login </w:t>
      </w:r>
      <w:r w:rsidR="00E36509">
        <w:t xml:space="preserve">as that account and gain unauthorized access. This poses a high risk to the company, due to the simplicity of the </w:t>
      </w:r>
      <w:r w:rsidR="00E36509">
        <w:lastRenderedPageBreak/>
        <w:t xml:space="preserve">password, making it easy to brute force, as well as </w:t>
      </w:r>
      <w:r w:rsidR="002C5850">
        <w:t>the potential impact that an unauthorised user would have within the company network.</w:t>
      </w:r>
    </w:p>
    <w:p w14:paraId="60786D4A" w14:textId="2CA0A879" w:rsidR="00F15AAF" w:rsidRDefault="00445752" w:rsidP="00430E05">
      <w:pPr>
        <w:rPr>
          <w:b/>
          <w:bCs/>
        </w:rPr>
      </w:pPr>
      <w:r>
        <w:rPr>
          <w:b/>
          <w:bCs/>
        </w:rPr>
        <w:t>Outdated Incident Response Plan</w:t>
      </w:r>
    </w:p>
    <w:p w14:paraId="78498959" w14:textId="25ED8B50" w:rsidR="00A46AFD" w:rsidRPr="00A46AFD" w:rsidRDefault="00A46AFD" w:rsidP="00430E05">
      <w:r>
        <w:t>The Incident response plan was created in 2020 and last updated in 2022, meaning as of the time of this report</w:t>
      </w:r>
      <w:r w:rsidR="00D56994">
        <w:t xml:space="preserve"> (28/11/2024) it is 2 years out of date. The vulnerability here is that with having a response plan be out of date, </w:t>
      </w:r>
      <w:r w:rsidR="00405255">
        <w:t>new</w:t>
      </w:r>
      <w:r w:rsidR="00926973">
        <w:t xml:space="preserve"> </w:t>
      </w:r>
      <w:r w:rsidR="00405255">
        <w:t>threats, risk</w:t>
      </w:r>
      <w:r w:rsidR="00926973">
        <w:t>s and</w:t>
      </w:r>
      <w:r w:rsidR="00405255">
        <w:t xml:space="preserve"> vulnerabilities may have been discovered that the response plan fails to address, as well as any </w:t>
      </w:r>
      <w:r w:rsidR="006B7DF4">
        <w:t>policies or regulations that have been added that the response plan fails to meet.</w:t>
      </w:r>
      <w:r w:rsidR="00E06949">
        <w:t xml:space="preserve"> This poses a very high risk to InnoVAR, due to the potential for </w:t>
      </w:r>
      <w:r w:rsidR="00AE76E7">
        <w:t>vulnerabilities</w:t>
      </w:r>
      <w:r w:rsidR="00E06949">
        <w:t xml:space="preserve"> to be exploited that the company has no </w:t>
      </w:r>
      <w:r w:rsidR="002050B2">
        <w:t>documented mitigation methods for, as wel</w:t>
      </w:r>
      <w:r w:rsidR="00AE76E7">
        <w:t>l as financial and legal repercussions the company might face, from either not meeting regulatory requirements, or for a successful attack against the company.</w:t>
      </w:r>
    </w:p>
    <w:p w14:paraId="08039286" w14:textId="7BD8AC2C" w:rsidR="00445752" w:rsidRDefault="00445752" w:rsidP="00430E05">
      <w:pPr>
        <w:rPr>
          <w:b/>
          <w:bCs/>
        </w:rPr>
      </w:pPr>
      <w:r>
        <w:rPr>
          <w:b/>
          <w:bCs/>
        </w:rPr>
        <w:t>No Response or Recovery Tests / Training</w:t>
      </w:r>
    </w:p>
    <w:p w14:paraId="78F26571" w14:textId="2AD3BA29" w:rsidR="00A9334D" w:rsidRPr="00800F44" w:rsidRDefault="00800F44" w:rsidP="00430E05">
      <w:r>
        <w:t xml:space="preserve">The InnoVAR incident response plan fails to include </w:t>
      </w:r>
      <w:r w:rsidR="00442471">
        <w:t xml:space="preserve">response of recovery tests or training, stating that they rely on IT Works. The vulnerability here is that </w:t>
      </w:r>
      <w:r w:rsidR="001A4B26">
        <w:t>with a lack of testing or training, the overall effectiveness of mitigating an incident is critically low. Attacker</w:t>
      </w:r>
      <w:r w:rsidR="00800F0F">
        <w:t>s can exploit this unpreparedness vulnerability to further damage InnoVAR systems</w:t>
      </w:r>
      <w:r w:rsidR="00DB494D">
        <w:t xml:space="preserve">, </w:t>
      </w:r>
      <w:r w:rsidR="001059CA">
        <w:t>having a greater impact on the company, due to unpreparedness and lack of training.</w:t>
      </w:r>
    </w:p>
    <w:p w14:paraId="3A5F9400" w14:textId="6BDD35CE" w:rsidR="00430E05" w:rsidRDefault="00445752" w:rsidP="00430E05">
      <w:pPr>
        <w:rPr>
          <w:b/>
          <w:bCs/>
        </w:rPr>
      </w:pPr>
      <w:r>
        <w:rPr>
          <w:b/>
          <w:bCs/>
        </w:rPr>
        <w:t>Terminated Employee Contact Information</w:t>
      </w:r>
    </w:p>
    <w:p w14:paraId="3F7B9067" w14:textId="38EC5201" w:rsidR="00454E73" w:rsidRDefault="009D6C51" w:rsidP="00430E05">
      <w:r>
        <w:t xml:space="preserve">Terminated employees </w:t>
      </w:r>
      <w:r w:rsidR="00377591">
        <w:t xml:space="preserve">suggests some form of </w:t>
      </w:r>
      <w:r w:rsidR="0038653F">
        <w:t>wrongdoing</w:t>
      </w:r>
      <w:r w:rsidR="00377591">
        <w:t xml:space="preserve">, where the employee may feel </w:t>
      </w:r>
      <w:r w:rsidR="00AF674B">
        <w:t>disgruntled</w:t>
      </w:r>
      <w:r w:rsidR="00377591">
        <w:t xml:space="preserve"> and wanting to </w:t>
      </w:r>
      <w:r w:rsidR="00DD3596">
        <w:t xml:space="preserve">gain something back. The vulnerability exists where the </w:t>
      </w:r>
      <w:r w:rsidR="00AF674B">
        <w:t>ex-employees</w:t>
      </w:r>
      <w:r w:rsidR="00DD3596">
        <w:t xml:space="preserve"> contact information is still listed on the incident response plan. This means that when there is an incident, they will be notified. This </w:t>
      </w:r>
      <w:r w:rsidR="003C4889">
        <w:t xml:space="preserve">puts the company at a very high risk, as the </w:t>
      </w:r>
      <w:r w:rsidR="00AF674B">
        <w:t>ex-employee</w:t>
      </w:r>
      <w:r w:rsidR="003C4889">
        <w:t xml:space="preserve"> ma decide to act maliciously with this information, notifying competing companies, or other </w:t>
      </w:r>
      <w:r w:rsidR="00AF674B">
        <w:t>threat agents to further attack the company. They main gain insight into what the incident is and how it occurred, potentially beneficial information to an attacker. This vulnerability could</w:t>
      </w:r>
      <w:r w:rsidR="00472B6B">
        <w:t xml:space="preserve"> increase the time taken for the incident to be resolved and the overall impact it has.</w:t>
      </w:r>
    </w:p>
    <w:p w14:paraId="21D0C36D" w14:textId="77777777" w:rsidR="00F42351" w:rsidRPr="00FF0C96" w:rsidRDefault="00F42351" w:rsidP="00430E05"/>
    <w:p w14:paraId="70B7A935" w14:textId="0A160B1D" w:rsidR="00F42351" w:rsidRPr="00FF0C96" w:rsidRDefault="00F42351" w:rsidP="00430E05">
      <w:r w:rsidRPr="00FF0C96">
        <w:t>There are a further</w:t>
      </w:r>
      <w:r w:rsidR="007D5773" w:rsidRPr="00FF0C96">
        <w:t xml:space="preserve"> 2</w:t>
      </w:r>
      <w:r w:rsidR="00342418">
        <w:t>2</w:t>
      </w:r>
      <w:r w:rsidR="007D5773" w:rsidRPr="00FF0C96">
        <w:t xml:space="preserve"> vulnerabilities classed as “HIGH”, which should be mitigated </w:t>
      </w:r>
      <w:r w:rsidR="00FF0C96" w:rsidRPr="00FF0C96">
        <w:t>next</w:t>
      </w:r>
      <w:r w:rsidR="00454E73" w:rsidRPr="00FF0C96">
        <w:t xml:space="preserve"> </w:t>
      </w:r>
    </w:p>
    <w:p w14:paraId="2A0C896F" w14:textId="69EB6C87" w:rsidR="00D017DA" w:rsidRPr="00FF0C96" w:rsidRDefault="00D017DA" w:rsidP="00FF0C96">
      <w:pPr>
        <w:pStyle w:val="ListParagraph"/>
        <w:numPr>
          <w:ilvl w:val="0"/>
          <w:numId w:val="15"/>
        </w:numPr>
      </w:pPr>
      <w:r w:rsidRPr="00FF0C96">
        <w:t xml:space="preserve">Inadequate Security Awareness, Training </w:t>
      </w:r>
      <w:r w:rsidR="00A52EDC" w:rsidRPr="00FF0C96">
        <w:t>and</w:t>
      </w:r>
      <w:r w:rsidRPr="00FF0C96">
        <w:t xml:space="preserve"> Education</w:t>
      </w:r>
    </w:p>
    <w:p w14:paraId="3C34DEDB" w14:textId="63B9B874" w:rsidR="00D017DA" w:rsidRPr="00FF0C96" w:rsidRDefault="0074227A" w:rsidP="00FF0C96">
      <w:pPr>
        <w:pStyle w:val="ListParagraph"/>
        <w:numPr>
          <w:ilvl w:val="0"/>
          <w:numId w:val="15"/>
        </w:numPr>
      </w:pPr>
      <w:r w:rsidRPr="00FF0C96">
        <w:t>Overburdened Employee</w:t>
      </w:r>
    </w:p>
    <w:p w14:paraId="25B72286" w14:textId="76AD27E5" w:rsidR="0074227A" w:rsidRPr="00FF0C96" w:rsidRDefault="0074227A" w:rsidP="00FF0C96">
      <w:pPr>
        <w:pStyle w:val="ListParagraph"/>
        <w:numPr>
          <w:ilvl w:val="0"/>
          <w:numId w:val="15"/>
        </w:numPr>
      </w:pPr>
      <w:r w:rsidRPr="00FF0C96">
        <w:t>No Pass Holder Verification</w:t>
      </w:r>
    </w:p>
    <w:p w14:paraId="6AF041F6" w14:textId="0AACBCAD" w:rsidR="0074227A" w:rsidRPr="00FF0C96" w:rsidRDefault="0074227A" w:rsidP="00FF0C96">
      <w:pPr>
        <w:pStyle w:val="ListParagraph"/>
        <w:numPr>
          <w:ilvl w:val="0"/>
          <w:numId w:val="15"/>
        </w:numPr>
      </w:pPr>
      <w:r w:rsidRPr="00FF0C96">
        <w:t>Unsupervised / Trusted Contractor Access</w:t>
      </w:r>
    </w:p>
    <w:p w14:paraId="17157D4D" w14:textId="660E68A9" w:rsidR="0074227A" w:rsidRPr="00FF0C96" w:rsidRDefault="0074227A" w:rsidP="00FF0C96">
      <w:pPr>
        <w:pStyle w:val="ListParagraph"/>
        <w:numPr>
          <w:ilvl w:val="0"/>
          <w:numId w:val="15"/>
        </w:numPr>
      </w:pPr>
      <w:r w:rsidRPr="00FF0C96">
        <w:t>Inadequate Physical Access Controls</w:t>
      </w:r>
    </w:p>
    <w:p w14:paraId="3F7670BF" w14:textId="548717D9" w:rsidR="0074227A" w:rsidRPr="00FF0C96" w:rsidRDefault="004266CE" w:rsidP="00FF0C96">
      <w:pPr>
        <w:pStyle w:val="ListParagraph"/>
        <w:numPr>
          <w:ilvl w:val="0"/>
          <w:numId w:val="15"/>
        </w:numPr>
      </w:pPr>
      <w:r w:rsidRPr="00FF0C96">
        <w:lastRenderedPageBreak/>
        <w:t>No Physical Security Monitoring (CCTV)</w:t>
      </w:r>
    </w:p>
    <w:p w14:paraId="70CA27FA" w14:textId="61B20A00" w:rsidR="004266CE" w:rsidRPr="00FF0C96" w:rsidRDefault="004266CE" w:rsidP="00FF0C96">
      <w:pPr>
        <w:pStyle w:val="ListParagraph"/>
        <w:numPr>
          <w:ilvl w:val="0"/>
          <w:numId w:val="15"/>
        </w:numPr>
      </w:pPr>
      <w:r w:rsidRPr="00FF0C96">
        <w:t>No Secure Storage of Asset</w:t>
      </w:r>
    </w:p>
    <w:p w14:paraId="173FF0D8" w14:textId="4FDB239D" w:rsidR="004266CE" w:rsidRPr="00FF0C96" w:rsidRDefault="004266CE" w:rsidP="00FF0C96">
      <w:pPr>
        <w:pStyle w:val="ListParagraph"/>
        <w:numPr>
          <w:ilvl w:val="0"/>
          <w:numId w:val="15"/>
        </w:numPr>
      </w:pPr>
      <w:r w:rsidRPr="00FF0C96">
        <w:t>Inadequate Password Policy</w:t>
      </w:r>
    </w:p>
    <w:p w14:paraId="1C2CB758" w14:textId="5C848507" w:rsidR="00F10B83" w:rsidRPr="00FF0C96" w:rsidRDefault="00F10B83" w:rsidP="00FF0C96">
      <w:pPr>
        <w:pStyle w:val="ListParagraph"/>
        <w:numPr>
          <w:ilvl w:val="0"/>
          <w:numId w:val="15"/>
        </w:numPr>
      </w:pPr>
      <w:r w:rsidRPr="00FF0C96">
        <w:t>Missed Updates via WSUS</w:t>
      </w:r>
    </w:p>
    <w:p w14:paraId="6B5353F6" w14:textId="7956C257" w:rsidR="001A4AAE" w:rsidRPr="00FF0C96" w:rsidRDefault="001A4AAE" w:rsidP="00FF0C96">
      <w:pPr>
        <w:pStyle w:val="ListParagraph"/>
        <w:numPr>
          <w:ilvl w:val="0"/>
          <w:numId w:val="15"/>
        </w:numPr>
      </w:pPr>
      <w:r w:rsidRPr="00FF0C96">
        <w:t>Legacy SharePoint Software Used</w:t>
      </w:r>
    </w:p>
    <w:p w14:paraId="24AF58F0" w14:textId="034417DA" w:rsidR="001A4AAE" w:rsidRPr="00FF0C96" w:rsidRDefault="001A4AAE" w:rsidP="00AF1C3E">
      <w:pPr>
        <w:pStyle w:val="ListParagraph"/>
        <w:numPr>
          <w:ilvl w:val="0"/>
          <w:numId w:val="15"/>
        </w:numPr>
      </w:pPr>
      <w:r w:rsidRPr="00FF0C96">
        <w:t>CVE-2019-1714</w:t>
      </w:r>
      <w:r w:rsidR="00AF1C3E">
        <w:t xml:space="preserve"> </w:t>
      </w:r>
      <w:r w:rsidR="00AF1C3E" w:rsidRPr="00AF1C3E">
        <w:t>(Nist.gov, 2019</w:t>
      </w:r>
      <w:r w:rsidR="00AF1C3E">
        <w:t>)</w:t>
      </w:r>
    </w:p>
    <w:p w14:paraId="2ED94EC6" w14:textId="384B0AC8" w:rsidR="001A4AAE" w:rsidRPr="00FF0C96" w:rsidRDefault="001A4AAE" w:rsidP="005329C1">
      <w:pPr>
        <w:pStyle w:val="ListParagraph"/>
        <w:numPr>
          <w:ilvl w:val="0"/>
          <w:numId w:val="15"/>
        </w:numPr>
      </w:pPr>
      <w:r w:rsidRPr="00FF0C96">
        <w:t>CVE-2019-1708</w:t>
      </w:r>
      <w:r w:rsidR="005329C1">
        <w:t xml:space="preserve"> </w:t>
      </w:r>
      <w:r w:rsidR="005329C1" w:rsidRPr="005329C1">
        <w:t>(Nist.gov, 2019a)</w:t>
      </w:r>
    </w:p>
    <w:p w14:paraId="6E6C877C" w14:textId="112125A2" w:rsidR="00C249FB" w:rsidRPr="00FF0C96" w:rsidRDefault="00C249FB" w:rsidP="00EA7E6D">
      <w:pPr>
        <w:pStyle w:val="ListParagraph"/>
        <w:numPr>
          <w:ilvl w:val="0"/>
          <w:numId w:val="15"/>
        </w:numPr>
      </w:pPr>
      <w:r w:rsidRPr="00FF0C96">
        <w:t>CVE-2019-1715</w:t>
      </w:r>
      <w:r w:rsidR="00EA7E6D">
        <w:t xml:space="preserve"> </w:t>
      </w:r>
      <w:r w:rsidR="00EA7E6D" w:rsidRPr="00EA7E6D">
        <w:t>(Nist.gov, 2019c)</w:t>
      </w:r>
    </w:p>
    <w:p w14:paraId="05519B81" w14:textId="3701CDB3" w:rsidR="00C249FB" w:rsidRPr="00FF0C96" w:rsidRDefault="00C249FB" w:rsidP="00FF0C96">
      <w:pPr>
        <w:pStyle w:val="ListParagraph"/>
        <w:numPr>
          <w:ilvl w:val="0"/>
          <w:numId w:val="15"/>
        </w:numPr>
        <w:spacing w:after="0" w:line="240" w:lineRule="auto"/>
        <w:rPr>
          <w:rFonts w:eastAsia="Times New Roman" w:cs="Calibri"/>
          <w:kern w:val="0"/>
          <w:lang w:eastAsia="en-GB"/>
          <w14:ligatures w14:val="none"/>
        </w:rPr>
      </w:pPr>
      <w:r w:rsidRPr="00FF0C96">
        <w:rPr>
          <w:rFonts w:eastAsia="Times New Roman" w:cs="Calibri"/>
          <w:kern w:val="0"/>
          <w:lang w:eastAsia="en-GB"/>
          <w14:ligatures w14:val="none"/>
        </w:rPr>
        <w:t>Out of Date Versions Installed</w:t>
      </w:r>
    </w:p>
    <w:p w14:paraId="4A7F48D2" w14:textId="7BF42ECE" w:rsidR="00C249FB" w:rsidRPr="00FF0C96" w:rsidRDefault="00C249FB" w:rsidP="00FF0C96">
      <w:pPr>
        <w:pStyle w:val="ListParagraph"/>
        <w:numPr>
          <w:ilvl w:val="0"/>
          <w:numId w:val="15"/>
        </w:numPr>
        <w:spacing w:after="0" w:line="240" w:lineRule="auto"/>
        <w:rPr>
          <w:rFonts w:eastAsia="Times New Roman" w:cs="Calibri"/>
          <w:kern w:val="0"/>
          <w:lang w:eastAsia="en-GB"/>
          <w14:ligatures w14:val="none"/>
        </w:rPr>
      </w:pPr>
      <w:r w:rsidRPr="00FF0C96">
        <w:rPr>
          <w:rFonts w:eastAsia="Times New Roman" w:cs="Calibri"/>
          <w:kern w:val="0"/>
          <w:lang w:eastAsia="en-GB"/>
          <w14:ligatures w14:val="none"/>
        </w:rPr>
        <w:t>Manual Updates Required</w:t>
      </w:r>
    </w:p>
    <w:p w14:paraId="07F02D83" w14:textId="401B6E62" w:rsidR="00C249FB" w:rsidRPr="00FF0C96" w:rsidRDefault="00C249FB" w:rsidP="00327CBF">
      <w:pPr>
        <w:pStyle w:val="ListParagraph"/>
        <w:numPr>
          <w:ilvl w:val="0"/>
          <w:numId w:val="15"/>
        </w:numPr>
      </w:pPr>
      <w:r w:rsidRPr="00FF0C96">
        <w:t>CVE-2019-1853</w:t>
      </w:r>
      <w:r w:rsidR="00327CBF">
        <w:t xml:space="preserve"> </w:t>
      </w:r>
      <w:r w:rsidR="00327CBF" w:rsidRPr="00327CBF">
        <w:t>(Nist.gov, 2019d)</w:t>
      </w:r>
    </w:p>
    <w:p w14:paraId="5E8369E2" w14:textId="589C366C" w:rsidR="000214DE" w:rsidRPr="00FF0C96" w:rsidRDefault="000214DE" w:rsidP="00426391">
      <w:pPr>
        <w:pStyle w:val="ListParagraph"/>
        <w:numPr>
          <w:ilvl w:val="0"/>
          <w:numId w:val="15"/>
        </w:numPr>
      </w:pPr>
      <w:r w:rsidRPr="00FF0C96">
        <w:t>CVE-2021-34788</w:t>
      </w:r>
      <w:r w:rsidR="00426391">
        <w:t xml:space="preserve"> </w:t>
      </w:r>
      <w:r w:rsidR="00426391" w:rsidRPr="00426391">
        <w:t>(Nist.gov, 2021)</w:t>
      </w:r>
    </w:p>
    <w:p w14:paraId="6DC25B17" w14:textId="35143269" w:rsidR="000214DE" w:rsidRPr="00FF0C96" w:rsidRDefault="000214DE" w:rsidP="00FF0C96">
      <w:pPr>
        <w:pStyle w:val="ListParagraph"/>
        <w:numPr>
          <w:ilvl w:val="0"/>
          <w:numId w:val="15"/>
        </w:numPr>
      </w:pPr>
      <w:r w:rsidRPr="00FF0C96">
        <w:t>Outdated IT Policy</w:t>
      </w:r>
    </w:p>
    <w:p w14:paraId="6FAF005B" w14:textId="22F6DC40" w:rsidR="000214DE" w:rsidRPr="00FF0C96" w:rsidRDefault="000214DE" w:rsidP="00FF0C96">
      <w:pPr>
        <w:pStyle w:val="ListParagraph"/>
        <w:numPr>
          <w:ilvl w:val="0"/>
          <w:numId w:val="15"/>
        </w:numPr>
      </w:pPr>
      <w:r w:rsidRPr="00FF0C96">
        <w:t xml:space="preserve">Lack Of </w:t>
      </w:r>
      <w:r w:rsidR="00C96EC9" w:rsidRPr="00FF0C96">
        <w:t>Continuous</w:t>
      </w:r>
      <w:r w:rsidRPr="00FF0C96">
        <w:t xml:space="preserve"> Employee Security Awareness, Training And Education</w:t>
      </w:r>
    </w:p>
    <w:p w14:paraId="0E4C3A96" w14:textId="173B284B" w:rsidR="000214DE" w:rsidRPr="00FF0C96" w:rsidRDefault="000214DE" w:rsidP="00FF0C96">
      <w:pPr>
        <w:pStyle w:val="ListParagraph"/>
        <w:numPr>
          <w:ilvl w:val="0"/>
          <w:numId w:val="15"/>
        </w:numPr>
      </w:pPr>
      <w:r w:rsidRPr="00FF0C96">
        <w:t>Lacks Up To Date Rules</w:t>
      </w:r>
    </w:p>
    <w:p w14:paraId="29D2C133" w14:textId="0BBFC24C" w:rsidR="00E1726E" w:rsidRPr="00FF0C96" w:rsidRDefault="00E1726E" w:rsidP="00FF0C96">
      <w:pPr>
        <w:pStyle w:val="ListParagraph"/>
        <w:numPr>
          <w:ilvl w:val="0"/>
          <w:numId w:val="15"/>
        </w:numPr>
      </w:pPr>
      <w:r w:rsidRPr="00FF0C96">
        <w:t>Single Point of Failure</w:t>
      </w:r>
    </w:p>
    <w:p w14:paraId="7F181A7E" w14:textId="4DB2A0F2" w:rsidR="00D017DA" w:rsidRPr="00556A36" w:rsidRDefault="00E1726E" w:rsidP="00430E05">
      <w:pPr>
        <w:pStyle w:val="ListParagraph"/>
        <w:numPr>
          <w:ilvl w:val="0"/>
          <w:numId w:val="15"/>
        </w:numPr>
      </w:pPr>
      <w:r w:rsidRPr="00FF0C96">
        <w:t>Third Party Reliance</w:t>
      </w:r>
    </w:p>
    <w:p w14:paraId="466151C5" w14:textId="2B8019D3" w:rsidR="003905EA" w:rsidRDefault="00A51F55" w:rsidP="00233701">
      <w:pPr>
        <w:pStyle w:val="Heading1"/>
        <w:rPr>
          <w:color w:val="0070C0"/>
        </w:rPr>
      </w:pPr>
      <w:bookmarkStart w:id="8" w:name="_Toc183690942"/>
      <w:r w:rsidRPr="00A1242A">
        <w:rPr>
          <w:color w:val="0070C0"/>
        </w:rPr>
        <w:t>Gap Analysis</w:t>
      </w:r>
      <w:bookmarkEnd w:id="8"/>
    </w:p>
    <w:p w14:paraId="205CC6B8" w14:textId="00569434" w:rsidR="00BE0787" w:rsidRDefault="003F69A3" w:rsidP="00BE0787">
      <w:r>
        <w:t>InnoVar has been asked to align their security</w:t>
      </w:r>
      <w:r w:rsidR="00F43588">
        <w:t xml:space="preserve"> program to the recognised ISO/IEC 27001:2022 Standard, which outlines controls for Information Security Management.</w:t>
      </w:r>
      <w:r w:rsidR="00510BD9">
        <w:t xml:space="preserve"> Annex A contains 9</w:t>
      </w:r>
      <w:r w:rsidR="001B1272">
        <w:t>3 controls in 4 annexes:</w:t>
      </w:r>
    </w:p>
    <w:p w14:paraId="17034763" w14:textId="373D925D" w:rsidR="001B1272" w:rsidRDefault="001B1272" w:rsidP="00BE0787">
      <w:r>
        <w:tab/>
        <w:t>A.5 Organizational controls</w:t>
      </w:r>
    </w:p>
    <w:p w14:paraId="30924A64" w14:textId="3F8D829B" w:rsidR="001B1272" w:rsidRDefault="001B1272" w:rsidP="00BE0787">
      <w:r>
        <w:tab/>
        <w:t>A.6 People controls</w:t>
      </w:r>
    </w:p>
    <w:p w14:paraId="2FB953CA" w14:textId="5BC0E56E" w:rsidR="001B1272" w:rsidRDefault="001B1272" w:rsidP="00BE0787">
      <w:r>
        <w:tab/>
        <w:t>A.7 Physical controls</w:t>
      </w:r>
    </w:p>
    <w:p w14:paraId="3936C08D" w14:textId="0019C5B8" w:rsidR="001B1272" w:rsidRDefault="001B1272" w:rsidP="00BE0787">
      <w:r>
        <w:tab/>
        <w:t>A.8 Technological controls</w:t>
      </w:r>
    </w:p>
    <w:p w14:paraId="17077882" w14:textId="1563C1DF" w:rsidR="001B1272" w:rsidRDefault="001B1272" w:rsidP="00BE0787">
      <w:r>
        <w:t>Numerous sub annexes have been omitted from this analysis, due to the lack of information provided in the case study, where reasonable assumptions cannot be made.</w:t>
      </w:r>
      <w:r w:rsidR="0020193E">
        <w:t xml:space="preserve"> There are [</w:t>
      </w:r>
      <w:r w:rsidR="0020193E">
        <w:rPr>
          <w:b/>
          <w:bCs/>
        </w:rPr>
        <w:t>Insert number controls here</w:t>
      </w:r>
      <w:r w:rsidR="0020193E">
        <w:t>]</w:t>
      </w:r>
    </w:p>
    <w:p w14:paraId="7D354117" w14:textId="0C8F52A9" w:rsidR="00DA4E88" w:rsidRDefault="00C76094" w:rsidP="00BE0787">
      <w:r>
        <w:t>The following table outlines the status metrics of controls:</w:t>
      </w:r>
    </w:p>
    <w:p w14:paraId="46B08432" w14:textId="77777777" w:rsidR="00471633" w:rsidRDefault="00471633" w:rsidP="00471633">
      <w:pPr>
        <w:keepNext/>
      </w:pPr>
      <w:r>
        <w:rPr>
          <w:noProof/>
        </w:rPr>
        <w:lastRenderedPageBreak/>
        <w:drawing>
          <wp:inline distT="0" distB="0" distL="0" distR="0" wp14:anchorId="1096D992" wp14:editId="5528DE8C">
            <wp:extent cx="3057525" cy="4257675"/>
            <wp:effectExtent l="0" t="0" r="9525" b="9525"/>
            <wp:docPr id="1526060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6022" name="Picture 1" descr="A screen shot of a computer&#10;&#10;Description automatically generated"/>
                    <pic:cNvPicPr/>
                  </pic:nvPicPr>
                  <pic:blipFill>
                    <a:blip r:embed="rId16"/>
                    <a:stretch>
                      <a:fillRect/>
                    </a:stretch>
                  </pic:blipFill>
                  <pic:spPr>
                    <a:xfrm>
                      <a:off x="0" y="0"/>
                      <a:ext cx="3057525" cy="4257675"/>
                    </a:xfrm>
                    <a:prstGeom prst="rect">
                      <a:avLst/>
                    </a:prstGeom>
                  </pic:spPr>
                </pic:pic>
              </a:graphicData>
            </a:graphic>
          </wp:inline>
        </w:drawing>
      </w:r>
    </w:p>
    <w:p w14:paraId="7A2427F4" w14:textId="4348C400" w:rsidR="00471633" w:rsidRDefault="00471633" w:rsidP="00471633">
      <w:pPr>
        <w:pStyle w:val="Caption"/>
      </w:pPr>
      <w:r>
        <w:t xml:space="preserve">Figure </w:t>
      </w:r>
      <w:r>
        <w:fldChar w:fldCharType="begin"/>
      </w:r>
      <w:r>
        <w:instrText xml:space="preserve"> SEQ Figure \* ARABIC </w:instrText>
      </w:r>
      <w:r>
        <w:fldChar w:fldCharType="separate"/>
      </w:r>
      <w:r w:rsidR="00D35B2B">
        <w:rPr>
          <w:noProof/>
        </w:rPr>
        <w:t>11</w:t>
      </w:r>
      <w:r>
        <w:fldChar w:fldCharType="end"/>
      </w:r>
      <w:r>
        <w:t xml:space="preserve"> Control Status Table</w:t>
      </w:r>
    </w:p>
    <w:p w14:paraId="4CA2F1B6" w14:textId="77777777" w:rsidR="00C76094" w:rsidRDefault="00C76094" w:rsidP="00BE0787"/>
    <w:p w14:paraId="69E11CDC" w14:textId="2D2AE6BB" w:rsidR="0049736D" w:rsidRDefault="0049736D" w:rsidP="0049736D">
      <w:pPr>
        <w:pStyle w:val="Subtitle"/>
        <w:rPr>
          <w:color w:val="0070C0"/>
        </w:rPr>
      </w:pPr>
      <w:r w:rsidRPr="0049736D">
        <w:rPr>
          <w:color w:val="0070C0"/>
        </w:rPr>
        <w:t>A5.1</w:t>
      </w:r>
    </w:p>
    <w:p w14:paraId="65D97E29" w14:textId="2D12AE3B" w:rsidR="007419AE" w:rsidRDefault="007419AE" w:rsidP="007419AE">
      <w:pPr>
        <w:rPr>
          <w:b/>
          <w:bCs/>
        </w:rPr>
      </w:pPr>
      <w:r>
        <w:t>The case study</w:t>
      </w:r>
      <w:r w:rsidR="009F6848">
        <w:t xml:space="preserve"> states that InnoVAR has some policies for Information Security,</w:t>
      </w:r>
      <w:r w:rsidR="00587D6D">
        <w:t xml:space="preserve"> coming from a IT Policy, Incident Response Plan and Password Policy. Despite this, </w:t>
      </w:r>
      <w:r w:rsidR="00CE586A">
        <w:t>both the IT policy and incident response plan are outdated, as well as the password policy being</w:t>
      </w:r>
      <w:r w:rsidR="00737609">
        <w:t xml:space="preserve"> inadequate in complexity and frequency. </w:t>
      </w:r>
      <w:r w:rsidR="00737609" w:rsidRPr="00737609">
        <w:rPr>
          <w:b/>
          <w:bCs/>
        </w:rPr>
        <w:t>Partially Compliant</w:t>
      </w:r>
    </w:p>
    <w:p w14:paraId="0F6054D1" w14:textId="550DD668" w:rsidR="00737609" w:rsidRDefault="00737609" w:rsidP="00737609">
      <w:pPr>
        <w:pStyle w:val="Subtitle"/>
        <w:rPr>
          <w:color w:val="0070C0"/>
        </w:rPr>
      </w:pPr>
      <w:r w:rsidRPr="0049736D">
        <w:rPr>
          <w:color w:val="0070C0"/>
        </w:rPr>
        <w:t>A5.</w:t>
      </w:r>
      <w:r w:rsidR="0025512B">
        <w:rPr>
          <w:color w:val="0070C0"/>
        </w:rPr>
        <w:t>2</w:t>
      </w:r>
    </w:p>
    <w:p w14:paraId="16B76BFD" w14:textId="63B1E378" w:rsidR="0025512B" w:rsidRDefault="0025512B" w:rsidP="0025512B">
      <w:pPr>
        <w:rPr>
          <w:b/>
          <w:bCs/>
        </w:rPr>
      </w:pPr>
      <w:r>
        <w:t xml:space="preserve">InnoVAR has a dedicated IT team with 10 members split across company offices as well as an IT Director. InnoVAR only has 1 IT security employee, who is part time. </w:t>
      </w:r>
      <w:r w:rsidRPr="0025512B">
        <w:rPr>
          <w:b/>
          <w:bCs/>
        </w:rPr>
        <w:t>Partially Compliant</w:t>
      </w:r>
    </w:p>
    <w:p w14:paraId="2AA19488" w14:textId="558061ED" w:rsidR="006A32DD" w:rsidRDefault="006A32DD" w:rsidP="006A32DD">
      <w:pPr>
        <w:pStyle w:val="Subtitle"/>
        <w:rPr>
          <w:color w:val="0070C0"/>
        </w:rPr>
      </w:pPr>
      <w:r w:rsidRPr="0049736D">
        <w:rPr>
          <w:color w:val="0070C0"/>
        </w:rPr>
        <w:t>A5.</w:t>
      </w:r>
      <w:r>
        <w:rPr>
          <w:color w:val="0070C0"/>
        </w:rPr>
        <w:t>3</w:t>
      </w:r>
    </w:p>
    <w:p w14:paraId="29A38407" w14:textId="014FDA52" w:rsidR="006A32DD" w:rsidRDefault="006A32DD" w:rsidP="006A32DD">
      <w:pPr>
        <w:rPr>
          <w:b/>
          <w:bCs/>
        </w:rPr>
      </w:pPr>
      <w:r>
        <w:t>InnoVAR only has 1 IT security employee, who is also only part time</w:t>
      </w:r>
      <w:r w:rsidR="000B111B">
        <w:t>.</w:t>
      </w:r>
      <w:r w:rsidR="00D233D7">
        <w:t xml:space="preserve"> </w:t>
      </w:r>
      <w:r w:rsidR="00D233D7" w:rsidRPr="00D233D7">
        <w:rPr>
          <w:b/>
          <w:bCs/>
        </w:rPr>
        <w:t>Non</w:t>
      </w:r>
      <w:r w:rsidR="00A04B4D">
        <w:rPr>
          <w:b/>
          <w:bCs/>
        </w:rPr>
        <w:t xml:space="preserve"> </w:t>
      </w:r>
      <w:r w:rsidR="00D233D7" w:rsidRPr="00D233D7">
        <w:rPr>
          <w:b/>
          <w:bCs/>
        </w:rPr>
        <w:t>Compliant</w:t>
      </w:r>
    </w:p>
    <w:p w14:paraId="3AD259D7" w14:textId="7155E23A" w:rsidR="00D233D7" w:rsidRDefault="00D233D7" w:rsidP="00D233D7">
      <w:pPr>
        <w:pStyle w:val="Subtitle"/>
        <w:rPr>
          <w:color w:val="0070C0"/>
        </w:rPr>
      </w:pPr>
      <w:r w:rsidRPr="0049736D">
        <w:rPr>
          <w:color w:val="0070C0"/>
        </w:rPr>
        <w:t>A5.</w:t>
      </w:r>
      <w:r>
        <w:rPr>
          <w:color w:val="0070C0"/>
        </w:rPr>
        <w:t>5</w:t>
      </w:r>
    </w:p>
    <w:p w14:paraId="148417B3" w14:textId="17C3F662" w:rsidR="00C00AD3" w:rsidRPr="00C00AD3" w:rsidRDefault="00C00AD3" w:rsidP="00C00AD3">
      <w:r>
        <w:t>No contact with authorities described, simply with third party IT Works</w:t>
      </w:r>
      <w:r w:rsidR="00A04B4D">
        <w:t xml:space="preserve">. </w:t>
      </w:r>
      <w:r w:rsidR="00A04B4D" w:rsidRPr="00A04B4D">
        <w:rPr>
          <w:b/>
          <w:bCs/>
        </w:rPr>
        <w:t>Non Compliant</w:t>
      </w:r>
    </w:p>
    <w:p w14:paraId="33D0D368" w14:textId="45D3BF86" w:rsidR="00D233D7" w:rsidRDefault="00D233D7" w:rsidP="00D233D7">
      <w:pPr>
        <w:pStyle w:val="Subtitle"/>
        <w:rPr>
          <w:color w:val="0070C0"/>
        </w:rPr>
      </w:pPr>
      <w:r w:rsidRPr="0049736D">
        <w:rPr>
          <w:color w:val="0070C0"/>
        </w:rPr>
        <w:lastRenderedPageBreak/>
        <w:t>A5.</w:t>
      </w:r>
      <w:r>
        <w:rPr>
          <w:color w:val="0070C0"/>
        </w:rPr>
        <w:t>6</w:t>
      </w:r>
    </w:p>
    <w:p w14:paraId="54A69710" w14:textId="42393794" w:rsidR="00A04B4D" w:rsidRDefault="00A04B4D" w:rsidP="00A04B4D">
      <w:pPr>
        <w:rPr>
          <w:b/>
          <w:bCs/>
        </w:rPr>
      </w:pPr>
      <w:r>
        <w:t xml:space="preserve">No contact with special interest groups, simply with third party IT Works. </w:t>
      </w:r>
      <w:r w:rsidRPr="00A04B4D">
        <w:rPr>
          <w:b/>
          <w:bCs/>
        </w:rPr>
        <w:t>Non Compliant</w:t>
      </w:r>
    </w:p>
    <w:p w14:paraId="3C024847" w14:textId="35CBC53F" w:rsidR="00661754" w:rsidRDefault="00661754" w:rsidP="00661754">
      <w:pPr>
        <w:pStyle w:val="Subtitle"/>
        <w:rPr>
          <w:color w:val="0070C0"/>
        </w:rPr>
      </w:pPr>
      <w:r w:rsidRPr="0049736D">
        <w:rPr>
          <w:color w:val="0070C0"/>
        </w:rPr>
        <w:t>A5.</w:t>
      </w:r>
      <w:r>
        <w:rPr>
          <w:color w:val="0070C0"/>
        </w:rPr>
        <w:t>7</w:t>
      </w:r>
    </w:p>
    <w:p w14:paraId="5E1A8F8F" w14:textId="5E58E50A" w:rsidR="00661754" w:rsidRPr="00A04B4D" w:rsidRDefault="00661754" w:rsidP="00A04B4D">
      <w:r>
        <w:t>Whilst InnoVAR doesn’t conduct threat intelligence, IT Works</w:t>
      </w:r>
      <w:r w:rsidR="008467B5">
        <w:t xml:space="preserve"> is a contractor which monitors potential threats on InnoVARs behalf. </w:t>
      </w:r>
      <w:r w:rsidR="008467B5" w:rsidRPr="008467B5">
        <w:rPr>
          <w:b/>
          <w:bCs/>
        </w:rPr>
        <w:t>Partially Compliant</w:t>
      </w:r>
    </w:p>
    <w:p w14:paraId="4EC8940A" w14:textId="03FC727B" w:rsidR="000A3296" w:rsidRDefault="000A3296" w:rsidP="000A3296">
      <w:pPr>
        <w:pStyle w:val="Subtitle"/>
        <w:rPr>
          <w:color w:val="0070C0"/>
        </w:rPr>
      </w:pPr>
      <w:r w:rsidRPr="0049736D">
        <w:rPr>
          <w:color w:val="0070C0"/>
        </w:rPr>
        <w:t>A5.</w:t>
      </w:r>
      <w:r>
        <w:rPr>
          <w:color w:val="0070C0"/>
        </w:rPr>
        <w:t>9</w:t>
      </w:r>
    </w:p>
    <w:p w14:paraId="67771736" w14:textId="59AC10D2" w:rsidR="00483706" w:rsidRPr="00483706" w:rsidRDefault="00483706" w:rsidP="00483706">
      <w:r>
        <w:t xml:space="preserve">No list of assets apart from the initial case study has been provided. </w:t>
      </w:r>
      <w:r w:rsidRPr="00483706">
        <w:rPr>
          <w:b/>
          <w:bCs/>
        </w:rPr>
        <w:t>Non Compliant</w:t>
      </w:r>
    </w:p>
    <w:p w14:paraId="30477FBD" w14:textId="239CF4C4" w:rsidR="000A3296" w:rsidRDefault="000A3296" w:rsidP="000A3296">
      <w:pPr>
        <w:pStyle w:val="Subtitle"/>
        <w:rPr>
          <w:color w:val="0070C0"/>
        </w:rPr>
      </w:pPr>
      <w:r w:rsidRPr="0049736D">
        <w:rPr>
          <w:color w:val="0070C0"/>
        </w:rPr>
        <w:t>A5.</w:t>
      </w:r>
      <w:r>
        <w:rPr>
          <w:color w:val="0070C0"/>
        </w:rPr>
        <w:t>14</w:t>
      </w:r>
    </w:p>
    <w:p w14:paraId="19252066" w14:textId="4E63D703" w:rsidR="008D7686" w:rsidRPr="008D7686" w:rsidRDefault="008D7686" w:rsidP="008D7686">
      <w:r>
        <w:t xml:space="preserve">Data is transferred using an internal cloud architecture, which consists of a Legacy </w:t>
      </w:r>
      <w:r w:rsidR="007D2B66">
        <w:t>SharePoint</w:t>
      </w:r>
      <w:r>
        <w:t xml:space="preserve"> system</w:t>
      </w:r>
      <w:r w:rsidR="007D2B66">
        <w:t xml:space="preserve"> and shared folders. The case study also states that InnoVAR has several office servers</w:t>
      </w:r>
      <w:r w:rsidR="005E6F58">
        <w:t xml:space="preserve"> for office file storage</w:t>
      </w:r>
      <w:r w:rsidR="005E6F58" w:rsidRPr="005E6F58">
        <w:rPr>
          <w:b/>
          <w:bCs/>
        </w:rPr>
        <w:t>. Partially Compliant</w:t>
      </w:r>
    </w:p>
    <w:p w14:paraId="14246F0C" w14:textId="1F29ACF5" w:rsidR="000A3296" w:rsidRDefault="000A3296" w:rsidP="000A3296">
      <w:pPr>
        <w:pStyle w:val="Subtitle"/>
        <w:rPr>
          <w:color w:val="0070C0"/>
        </w:rPr>
      </w:pPr>
      <w:r w:rsidRPr="0049736D">
        <w:rPr>
          <w:color w:val="0070C0"/>
        </w:rPr>
        <w:t>A5.</w:t>
      </w:r>
      <w:r>
        <w:rPr>
          <w:color w:val="0070C0"/>
        </w:rPr>
        <w:t>15</w:t>
      </w:r>
    </w:p>
    <w:p w14:paraId="0CFD9716" w14:textId="78352F57" w:rsidR="00941F17" w:rsidRPr="00750F7E" w:rsidRDefault="00960949" w:rsidP="00941F17">
      <w:pPr>
        <w:rPr>
          <w:b/>
          <w:bCs/>
        </w:rPr>
      </w:pPr>
      <w:r>
        <w:t>External contractors have supervised and trust</w:t>
      </w:r>
      <w:r w:rsidR="001F73EB">
        <w:t>ed access within offices. Remote employees have</w:t>
      </w:r>
      <w:r w:rsidR="00C6753B">
        <w:t xml:space="preserve"> local admin privileges and </w:t>
      </w:r>
      <w:r w:rsidR="007A3739">
        <w:t>ex-employees</w:t>
      </w:r>
      <w:r w:rsidR="00C6753B">
        <w:t xml:space="preserve"> still have access</w:t>
      </w:r>
      <w:r w:rsidR="00750F7E">
        <w:t>.</w:t>
      </w:r>
      <w:r w:rsidR="0029108F">
        <w:t xml:space="preserve"> Active directory is in use for network </w:t>
      </w:r>
      <w:r w:rsidR="00C56CFC">
        <w:t>management.</w:t>
      </w:r>
      <w:r w:rsidR="00750F7E">
        <w:t xml:space="preserve"> </w:t>
      </w:r>
      <w:r w:rsidR="00C56CFC">
        <w:rPr>
          <w:b/>
          <w:bCs/>
        </w:rPr>
        <w:t>Partially</w:t>
      </w:r>
      <w:r w:rsidR="00750F7E" w:rsidRPr="00750F7E">
        <w:rPr>
          <w:b/>
          <w:bCs/>
        </w:rPr>
        <w:t xml:space="preserve"> Compliant</w:t>
      </w:r>
    </w:p>
    <w:p w14:paraId="5E970216" w14:textId="629F618D" w:rsidR="000A3296" w:rsidRDefault="000A3296" w:rsidP="000A3296">
      <w:pPr>
        <w:pStyle w:val="Subtitle"/>
        <w:rPr>
          <w:color w:val="0070C0"/>
        </w:rPr>
      </w:pPr>
      <w:r w:rsidRPr="0049736D">
        <w:rPr>
          <w:color w:val="0070C0"/>
        </w:rPr>
        <w:t>A5.</w:t>
      </w:r>
      <w:r w:rsidR="00DB72FD">
        <w:rPr>
          <w:color w:val="0070C0"/>
        </w:rPr>
        <w:t>16</w:t>
      </w:r>
    </w:p>
    <w:p w14:paraId="7BDB7CF2" w14:textId="6164F7B1" w:rsidR="0010688B" w:rsidRPr="0010688B" w:rsidRDefault="0010688B" w:rsidP="0010688B">
      <w:r>
        <w:t xml:space="preserve">Passes are issued to contractors and visitors which are used in office turnstiles. </w:t>
      </w:r>
      <w:r w:rsidRPr="0010688B">
        <w:rPr>
          <w:b/>
          <w:bCs/>
        </w:rPr>
        <w:t>Partially Compliant</w:t>
      </w:r>
    </w:p>
    <w:p w14:paraId="5B767084" w14:textId="7C71D813" w:rsidR="00DB72FD" w:rsidRDefault="00DB72FD" w:rsidP="00DB72FD">
      <w:pPr>
        <w:pStyle w:val="Subtitle"/>
        <w:rPr>
          <w:color w:val="0070C0"/>
        </w:rPr>
      </w:pPr>
      <w:r w:rsidRPr="0049736D">
        <w:rPr>
          <w:color w:val="0070C0"/>
        </w:rPr>
        <w:t>A5.</w:t>
      </w:r>
      <w:r>
        <w:rPr>
          <w:color w:val="0070C0"/>
        </w:rPr>
        <w:t>17</w:t>
      </w:r>
    </w:p>
    <w:p w14:paraId="0A36045D" w14:textId="18C1D981" w:rsidR="005448F9" w:rsidRDefault="005448F9" w:rsidP="005448F9">
      <w:pPr>
        <w:rPr>
          <w:b/>
          <w:bCs/>
        </w:rPr>
      </w:pPr>
      <w:r>
        <w:t>Once passes are issued, contractors generally trusted and unsupervised,</w:t>
      </w:r>
      <w:r w:rsidR="005635E0">
        <w:t xml:space="preserve"> very little verification</w:t>
      </w:r>
      <w:r w:rsidR="003B5F11">
        <w:t xml:space="preserve"> </w:t>
      </w:r>
      <w:r w:rsidR="00A24C57">
        <w:t xml:space="preserve">done afterwards. </w:t>
      </w:r>
      <w:r w:rsidR="00A24C57" w:rsidRPr="00A24C57">
        <w:rPr>
          <w:b/>
          <w:bCs/>
        </w:rPr>
        <w:t>Partially Compliant</w:t>
      </w:r>
    </w:p>
    <w:p w14:paraId="7B663D85" w14:textId="6FDE3C32" w:rsidR="00B51902" w:rsidRDefault="00B51902" w:rsidP="00B51902">
      <w:pPr>
        <w:pStyle w:val="Subtitle"/>
        <w:rPr>
          <w:color w:val="0070C0"/>
        </w:rPr>
      </w:pPr>
      <w:r w:rsidRPr="0049736D">
        <w:rPr>
          <w:color w:val="0070C0"/>
        </w:rPr>
        <w:t>A5.</w:t>
      </w:r>
      <w:r>
        <w:rPr>
          <w:color w:val="0070C0"/>
        </w:rPr>
        <w:t>18</w:t>
      </w:r>
    </w:p>
    <w:p w14:paraId="0B9CE5CB" w14:textId="6DD4F616" w:rsidR="00D2768A" w:rsidRPr="00D2768A" w:rsidRDefault="00D2768A" w:rsidP="00D2768A">
      <w:r>
        <w:t xml:space="preserve">Contractors </w:t>
      </w:r>
      <w:r w:rsidR="006465AD">
        <w:t>are generally trusted and unsupervised, employees have high level access rights when not necessary</w:t>
      </w:r>
      <w:r w:rsidR="00C56CFC">
        <w:t xml:space="preserve">. . Active directory is in use for network management. </w:t>
      </w:r>
      <w:r w:rsidR="0021043A">
        <w:t xml:space="preserve"> </w:t>
      </w:r>
      <w:r w:rsidR="00C56CFC">
        <w:rPr>
          <w:b/>
          <w:bCs/>
        </w:rPr>
        <w:t xml:space="preserve">Partially </w:t>
      </w:r>
      <w:r w:rsidR="0021043A" w:rsidRPr="0021043A">
        <w:rPr>
          <w:b/>
          <w:bCs/>
        </w:rPr>
        <w:t>Compliant</w:t>
      </w:r>
    </w:p>
    <w:p w14:paraId="2D5D6CDF" w14:textId="16A37172" w:rsidR="00A24C57" w:rsidRDefault="00ED07DA" w:rsidP="00B51902">
      <w:pPr>
        <w:pStyle w:val="Subtitle"/>
        <w:rPr>
          <w:color w:val="0070C0"/>
        </w:rPr>
      </w:pPr>
      <w:r w:rsidRPr="0049736D">
        <w:rPr>
          <w:color w:val="0070C0"/>
        </w:rPr>
        <w:t>A5.</w:t>
      </w:r>
      <w:r>
        <w:rPr>
          <w:color w:val="0070C0"/>
        </w:rPr>
        <w:t>23</w:t>
      </w:r>
    </w:p>
    <w:p w14:paraId="31F785BD" w14:textId="605D9991" w:rsidR="0021043A" w:rsidRPr="0021043A" w:rsidRDefault="0021043A" w:rsidP="0021043A">
      <w:r>
        <w:t>Active Directory in use for</w:t>
      </w:r>
      <w:r w:rsidR="006618D3">
        <w:t xml:space="preserve"> network management.</w:t>
      </w:r>
      <w:r w:rsidR="00436FA4">
        <w:t xml:space="preserve"> </w:t>
      </w:r>
      <w:r w:rsidR="00436FA4" w:rsidRPr="00436FA4">
        <w:rPr>
          <w:b/>
          <w:bCs/>
        </w:rPr>
        <w:t>Partially Compliant</w:t>
      </w:r>
    </w:p>
    <w:p w14:paraId="55C692AD" w14:textId="009EA88B" w:rsidR="00ED07DA" w:rsidRDefault="00ED07DA" w:rsidP="00ED07DA">
      <w:pPr>
        <w:pStyle w:val="Subtitle"/>
        <w:rPr>
          <w:color w:val="0070C0"/>
        </w:rPr>
      </w:pPr>
      <w:r w:rsidRPr="0049736D">
        <w:rPr>
          <w:color w:val="0070C0"/>
        </w:rPr>
        <w:t>A</w:t>
      </w:r>
      <w:r>
        <w:rPr>
          <w:color w:val="0070C0"/>
        </w:rPr>
        <w:t>5.24</w:t>
      </w:r>
    </w:p>
    <w:p w14:paraId="36937D3A" w14:textId="31D490B2" w:rsidR="00765467" w:rsidRPr="00765467" w:rsidRDefault="00765467" w:rsidP="00765467">
      <w:r>
        <w:lastRenderedPageBreak/>
        <w:t xml:space="preserve">InnoVAR provides no training or preparation in incident management, and relies on third party IT Works. </w:t>
      </w:r>
      <w:r w:rsidRPr="00765467">
        <w:rPr>
          <w:b/>
          <w:bCs/>
        </w:rPr>
        <w:t>Not Compliant</w:t>
      </w:r>
    </w:p>
    <w:p w14:paraId="5680013C" w14:textId="657D26B7" w:rsidR="008122B9" w:rsidRDefault="008122B9" w:rsidP="008122B9">
      <w:pPr>
        <w:pStyle w:val="Subtitle"/>
        <w:rPr>
          <w:color w:val="0070C0"/>
        </w:rPr>
      </w:pPr>
      <w:r w:rsidRPr="0049736D">
        <w:rPr>
          <w:color w:val="0070C0"/>
        </w:rPr>
        <w:t>A5.</w:t>
      </w:r>
      <w:r>
        <w:rPr>
          <w:color w:val="0070C0"/>
        </w:rPr>
        <w:t>25</w:t>
      </w:r>
    </w:p>
    <w:p w14:paraId="65A49FCD" w14:textId="04D770E2" w:rsidR="00584FDB" w:rsidRPr="00584FDB" w:rsidRDefault="00584FDB" w:rsidP="00584FDB">
      <w:r>
        <w:t xml:space="preserve">InnoVAR incident response plan has no response to incidents, and relies on third party IT Works. </w:t>
      </w:r>
      <w:r w:rsidRPr="00584FDB">
        <w:rPr>
          <w:b/>
          <w:bCs/>
        </w:rPr>
        <w:t>Not Compliant</w:t>
      </w:r>
    </w:p>
    <w:p w14:paraId="3DD29C19" w14:textId="6696C419" w:rsidR="008122B9" w:rsidRDefault="008122B9" w:rsidP="008122B9">
      <w:pPr>
        <w:pStyle w:val="Subtitle"/>
        <w:rPr>
          <w:color w:val="0070C0"/>
        </w:rPr>
      </w:pPr>
      <w:r w:rsidRPr="0049736D">
        <w:rPr>
          <w:color w:val="0070C0"/>
        </w:rPr>
        <w:t>A5.</w:t>
      </w:r>
      <w:r>
        <w:rPr>
          <w:color w:val="0070C0"/>
        </w:rPr>
        <w:t>26</w:t>
      </w:r>
    </w:p>
    <w:p w14:paraId="7D745229" w14:textId="0F95195D" w:rsidR="003D6F70" w:rsidRPr="003D6F70" w:rsidRDefault="003D6F70" w:rsidP="003D6F70">
      <w:r>
        <w:t xml:space="preserve">InnoVAR incident response plan has no response to incidents, and relies on third party IT Works. </w:t>
      </w:r>
      <w:r w:rsidRPr="00584FDB">
        <w:rPr>
          <w:b/>
          <w:bCs/>
        </w:rPr>
        <w:t>Not Compliant</w:t>
      </w:r>
    </w:p>
    <w:p w14:paraId="31A89500" w14:textId="01C67E47" w:rsidR="002C50BA" w:rsidRDefault="002C50BA" w:rsidP="002C50BA">
      <w:pPr>
        <w:pStyle w:val="Subtitle"/>
        <w:rPr>
          <w:color w:val="0070C0"/>
        </w:rPr>
      </w:pPr>
      <w:r w:rsidRPr="0049736D">
        <w:rPr>
          <w:color w:val="0070C0"/>
        </w:rPr>
        <w:t>A5.</w:t>
      </w:r>
      <w:r>
        <w:rPr>
          <w:color w:val="0070C0"/>
        </w:rPr>
        <w:t>27</w:t>
      </w:r>
    </w:p>
    <w:p w14:paraId="5D9DAE04" w14:textId="66260777" w:rsidR="00CD5759" w:rsidRPr="00CD5759" w:rsidRDefault="00CD5759" w:rsidP="00CD5759">
      <w:r>
        <w:t xml:space="preserve">InnoVAR incident response plan has no recovery tests to incidents, and relies on third party IT Works. </w:t>
      </w:r>
      <w:r w:rsidRPr="00584FDB">
        <w:rPr>
          <w:b/>
          <w:bCs/>
        </w:rPr>
        <w:t>Not Compliant</w:t>
      </w:r>
    </w:p>
    <w:p w14:paraId="57F3EFC9" w14:textId="5877F2FA" w:rsidR="002C50BA" w:rsidRDefault="002C50BA" w:rsidP="002C50BA">
      <w:pPr>
        <w:pStyle w:val="Subtitle"/>
        <w:rPr>
          <w:color w:val="0070C0"/>
        </w:rPr>
      </w:pPr>
      <w:r w:rsidRPr="0049736D">
        <w:rPr>
          <w:color w:val="0070C0"/>
        </w:rPr>
        <w:t>A5.</w:t>
      </w:r>
      <w:r>
        <w:rPr>
          <w:color w:val="0070C0"/>
        </w:rPr>
        <w:t>30</w:t>
      </w:r>
    </w:p>
    <w:p w14:paraId="622A6BAB" w14:textId="574A7F60" w:rsidR="001D5806" w:rsidRDefault="001D5806" w:rsidP="001D5806">
      <w:pPr>
        <w:rPr>
          <w:b/>
          <w:bCs/>
        </w:rPr>
      </w:pPr>
      <w:r>
        <w:t xml:space="preserve">InnoVAR </w:t>
      </w:r>
      <w:r w:rsidR="009A5731">
        <w:t xml:space="preserve"> recovery plan is failover to unaffected offices, whilst in place does rely on at least 1 site being operational. </w:t>
      </w:r>
      <w:r w:rsidR="009A5731" w:rsidRPr="009A5731">
        <w:rPr>
          <w:b/>
          <w:bCs/>
        </w:rPr>
        <w:t>Partially Compliant</w:t>
      </w:r>
    </w:p>
    <w:p w14:paraId="4BD3CD4B" w14:textId="48762C08" w:rsidR="00D8408F" w:rsidRDefault="00D8408F" w:rsidP="00D8408F">
      <w:pPr>
        <w:pStyle w:val="Subtitle"/>
        <w:rPr>
          <w:color w:val="0070C0"/>
        </w:rPr>
      </w:pPr>
      <w:r w:rsidRPr="0049736D">
        <w:rPr>
          <w:color w:val="0070C0"/>
        </w:rPr>
        <w:t>A5.</w:t>
      </w:r>
      <w:r>
        <w:rPr>
          <w:color w:val="0070C0"/>
        </w:rPr>
        <w:t>31</w:t>
      </w:r>
    </w:p>
    <w:p w14:paraId="79B5770F" w14:textId="6975B46D" w:rsidR="00D8408F" w:rsidRPr="00D8408F" w:rsidRDefault="00D8408F" w:rsidP="00D8408F">
      <w:r>
        <w:t xml:space="preserve">Prior to this report, from reading the case study InnoVAR does not meet MOD </w:t>
      </w:r>
      <w:r w:rsidR="0026756C">
        <w:t xml:space="preserve">minimum requirements. </w:t>
      </w:r>
      <w:r w:rsidR="0026756C" w:rsidRPr="0026756C">
        <w:rPr>
          <w:b/>
          <w:bCs/>
        </w:rPr>
        <w:t>Not Compliant</w:t>
      </w:r>
    </w:p>
    <w:p w14:paraId="3F6BA5A8" w14:textId="0743AA23" w:rsidR="006A0174" w:rsidRDefault="00171BD8" w:rsidP="00171BD8">
      <w:pPr>
        <w:pStyle w:val="Subtitle"/>
        <w:rPr>
          <w:color w:val="0070C0"/>
        </w:rPr>
      </w:pPr>
      <w:r w:rsidRPr="0049736D">
        <w:rPr>
          <w:color w:val="0070C0"/>
        </w:rPr>
        <w:t>A5.</w:t>
      </w:r>
      <w:r>
        <w:rPr>
          <w:color w:val="0070C0"/>
        </w:rPr>
        <w:t>35</w:t>
      </w:r>
    </w:p>
    <w:p w14:paraId="7537BFE0" w14:textId="556FC56A" w:rsidR="008B3C2C" w:rsidRPr="008B3C2C" w:rsidRDefault="008B3C2C" w:rsidP="008B3C2C">
      <w:pPr>
        <w:rPr>
          <w:b/>
          <w:bCs/>
        </w:rPr>
      </w:pPr>
      <w:r>
        <w:t xml:space="preserve">No prior review taken place. </w:t>
      </w:r>
      <w:r w:rsidRPr="008B3C2C">
        <w:rPr>
          <w:b/>
          <w:bCs/>
        </w:rPr>
        <w:t>Not Compliant</w:t>
      </w:r>
    </w:p>
    <w:p w14:paraId="1E45657C" w14:textId="1A91BD2E" w:rsidR="00171BD8" w:rsidRDefault="00171BD8" w:rsidP="00171BD8">
      <w:pPr>
        <w:pStyle w:val="Subtitle"/>
        <w:rPr>
          <w:color w:val="0070C0"/>
        </w:rPr>
      </w:pPr>
      <w:r w:rsidRPr="0049736D">
        <w:rPr>
          <w:color w:val="0070C0"/>
        </w:rPr>
        <w:t>A5.</w:t>
      </w:r>
      <w:r>
        <w:rPr>
          <w:color w:val="0070C0"/>
        </w:rPr>
        <w:t>36</w:t>
      </w:r>
    </w:p>
    <w:p w14:paraId="469809CE" w14:textId="22E66185" w:rsidR="00EB3D20" w:rsidRPr="00EB3D20" w:rsidRDefault="00EB3D20" w:rsidP="00EB3D20">
      <w:r>
        <w:t xml:space="preserve">No prior certification obtained. </w:t>
      </w:r>
      <w:r w:rsidRPr="00EB3D20">
        <w:rPr>
          <w:b/>
          <w:bCs/>
        </w:rPr>
        <w:t>Not Compliant</w:t>
      </w:r>
    </w:p>
    <w:p w14:paraId="104189A6" w14:textId="5453821B" w:rsidR="00171BD8" w:rsidRDefault="00171BD8" w:rsidP="00171BD8">
      <w:pPr>
        <w:pStyle w:val="Subtitle"/>
        <w:rPr>
          <w:color w:val="0070C0"/>
        </w:rPr>
      </w:pPr>
      <w:r w:rsidRPr="0049736D">
        <w:rPr>
          <w:color w:val="0070C0"/>
        </w:rPr>
        <w:t>A</w:t>
      </w:r>
      <w:r>
        <w:rPr>
          <w:color w:val="0070C0"/>
        </w:rPr>
        <w:t>6.2</w:t>
      </w:r>
    </w:p>
    <w:p w14:paraId="44EC5E43" w14:textId="2C575E82" w:rsidR="00A15656" w:rsidRPr="00A15656" w:rsidRDefault="00A15656" w:rsidP="00A15656">
      <w:r>
        <w:t>New employees are required to sign a</w:t>
      </w:r>
      <w:r w:rsidR="002E4625">
        <w:t xml:space="preserve">n acceptable user agreement and partake in a 30 minute security awareness presentation. </w:t>
      </w:r>
      <w:r w:rsidR="002E4625" w:rsidRPr="002E4625">
        <w:rPr>
          <w:b/>
          <w:bCs/>
        </w:rPr>
        <w:t>Partially Compliant</w:t>
      </w:r>
    </w:p>
    <w:p w14:paraId="06800366" w14:textId="4D33B094" w:rsidR="00171BD8" w:rsidRDefault="00171BD8" w:rsidP="00171BD8">
      <w:pPr>
        <w:pStyle w:val="Subtitle"/>
        <w:rPr>
          <w:color w:val="0070C0"/>
        </w:rPr>
      </w:pPr>
      <w:r w:rsidRPr="0049736D">
        <w:rPr>
          <w:color w:val="0070C0"/>
        </w:rPr>
        <w:t>A</w:t>
      </w:r>
      <w:r>
        <w:rPr>
          <w:color w:val="0070C0"/>
        </w:rPr>
        <w:t>6.3</w:t>
      </w:r>
    </w:p>
    <w:p w14:paraId="3D0268BA" w14:textId="6263EB6B" w:rsidR="001E1919" w:rsidRPr="001E1919" w:rsidRDefault="001E1919" w:rsidP="001E1919">
      <w:r>
        <w:t xml:space="preserve">Employees receive an initial 30 minute security awareness presentation during onboarding, however no further training provided. </w:t>
      </w:r>
      <w:r w:rsidRPr="001E1919">
        <w:rPr>
          <w:b/>
          <w:bCs/>
        </w:rPr>
        <w:t>Partially Compliant</w:t>
      </w:r>
    </w:p>
    <w:p w14:paraId="56D65366" w14:textId="425B30BD" w:rsidR="00171BD8" w:rsidRDefault="00D2228D" w:rsidP="00D2228D">
      <w:pPr>
        <w:pStyle w:val="Subtitle"/>
        <w:rPr>
          <w:color w:val="0070C0"/>
        </w:rPr>
      </w:pPr>
      <w:r w:rsidRPr="0049736D">
        <w:rPr>
          <w:color w:val="0070C0"/>
        </w:rPr>
        <w:t>A</w:t>
      </w:r>
      <w:r>
        <w:rPr>
          <w:color w:val="0070C0"/>
        </w:rPr>
        <w:t>6.7</w:t>
      </w:r>
    </w:p>
    <w:p w14:paraId="38E823F6" w14:textId="67DF8E15" w:rsidR="004A20C5" w:rsidRPr="00417C6C" w:rsidRDefault="004A20C5" w:rsidP="004A20C5">
      <w:pPr>
        <w:rPr>
          <w:b/>
          <w:bCs/>
        </w:rPr>
      </w:pPr>
      <w:r>
        <w:lastRenderedPageBreak/>
        <w:t>Remote employees required to</w:t>
      </w:r>
      <w:r w:rsidR="00417C6C">
        <w:t xml:space="preserve"> use multifactor authentication and access network through a VPN, however remote employees have admin capabilities. </w:t>
      </w:r>
      <w:r w:rsidR="00417C6C" w:rsidRPr="00417C6C">
        <w:rPr>
          <w:b/>
          <w:bCs/>
        </w:rPr>
        <w:t>Partially Compliant</w:t>
      </w:r>
    </w:p>
    <w:p w14:paraId="2E066BCC" w14:textId="50BEE2AF" w:rsidR="00D2228D" w:rsidRDefault="00D2228D" w:rsidP="00D2228D">
      <w:pPr>
        <w:pStyle w:val="Subtitle"/>
        <w:rPr>
          <w:color w:val="0070C0"/>
        </w:rPr>
      </w:pPr>
      <w:r w:rsidRPr="003D5D72">
        <w:rPr>
          <w:color w:val="0070C0"/>
        </w:rPr>
        <w:t>A7.1</w:t>
      </w:r>
    </w:p>
    <w:p w14:paraId="7301981D" w14:textId="7ADFCA18" w:rsidR="003D5D72" w:rsidRPr="003D5D72" w:rsidRDefault="003D5D72" w:rsidP="003D5D72">
      <w:r>
        <w:t>Optical turnstiles for passes for office entry and optical readers for data centre entry</w:t>
      </w:r>
      <w:r w:rsidR="00E258BB">
        <w:t xml:space="preserve">. </w:t>
      </w:r>
      <w:r w:rsidR="00E258BB" w:rsidRPr="00E258BB">
        <w:rPr>
          <w:b/>
          <w:bCs/>
        </w:rPr>
        <w:t>Partially Compliant</w:t>
      </w:r>
    </w:p>
    <w:p w14:paraId="0BCE627D" w14:textId="539E4220" w:rsidR="00D2228D" w:rsidRDefault="00D2228D" w:rsidP="00D2228D">
      <w:pPr>
        <w:pStyle w:val="Subtitle"/>
        <w:rPr>
          <w:color w:val="0070C0"/>
        </w:rPr>
      </w:pPr>
      <w:r w:rsidRPr="0049736D">
        <w:rPr>
          <w:color w:val="0070C0"/>
        </w:rPr>
        <w:t>A</w:t>
      </w:r>
      <w:r>
        <w:rPr>
          <w:color w:val="0070C0"/>
        </w:rPr>
        <w:t>7.2</w:t>
      </w:r>
    </w:p>
    <w:p w14:paraId="3E6EEDA0" w14:textId="0BAC7489" w:rsidR="00E258BB" w:rsidRPr="00105A83" w:rsidRDefault="00E258BB" w:rsidP="00E258BB">
      <w:pPr>
        <w:rPr>
          <w:b/>
          <w:bCs/>
        </w:rPr>
      </w:pPr>
      <w:r>
        <w:t xml:space="preserve">Offices have a reception desk, pass </w:t>
      </w:r>
      <w:r w:rsidR="00105A83">
        <w:t xml:space="preserve">issuing process, and optical turnstiles. </w:t>
      </w:r>
      <w:r w:rsidR="00105A83" w:rsidRPr="00105A83">
        <w:rPr>
          <w:b/>
          <w:bCs/>
        </w:rPr>
        <w:t>Fully Compliant</w:t>
      </w:r>
    </w:p>
    <w:p w14:paraId="29406B5A" w14:textId="3130508D" w:rsidR="00D2228D" w:rsidRDefault="00D2228D" w:rsidP="00D2228D">
      <w:pPr>
        <w:pStyle w:val="Subtitle"/>
        <w:rPr>
          <w:color w:val="0070C0"/>
        </w:rPr>
      </w:pPr>
      <w:r w:rsidRPr="0049736D">
        <w:rPr>
          <w:color w:val="0070C0"/>
        </w:rPr>
        <w:t>A</w:t>
      </w:r>
      <w:r>
        <w:rPr>
          <w:color w:val="0070C0"/>
        </w:rPr>
        <w:t>7.3</w:t>
      </w:r>
    </w:p>
    <w:p w14:paraId="6BFE90AE" w14:textId="4CC559AC" w:rsidR="00105A83" w:rsidRPr="00105A83" w:rsidRDefault="003D47D0" w:rsidP="00105A83">
      <w:r>
        <w:t xml:space="preserve">Data centres have optical readers. </w:t>
      </w:r>
      <w:r w:rsidRPr="003D47D0">
        <w:rPr>
          <w:b/>
          <w:bCs/>
        </w:rPr>
        <w:t>Fully Compliant</w:t>
      </w:r>
    </w:p>
    <w:p w14:paraId="133CDDEF" w14:textId="72258BAD" w:rsidR="00D2228D" w:rsidRDefault="00D2228D" w:rsidP="00D2228D">
      <w:pPr>
        <w:pStyle w:val="Subtitle"/>
        <w:rPr>
          <w:color w:val="0070C0"/>
        </w:rPr>
      </w:pPr>
      <w:r w:rsidRPr="0049736D">
        <w:rPr>
          <w:color w:val="0070C0"/>
        </w:rPr>
        <w:t>A</w:t>
      </w:r>
      <w:r>
        <w:rPr>
          <w:color w:val="0070C0"/>
        </w:rPr>
        <w:t>7.4</w:t>
      </w:r>
    </w:p>
    <w:p w14:paraId="01017C8A" w14:textId="48B4ACBF" w:rsidR="00D2228D" w:rsidRPr="00F875C4" w:rsidRDefault="005A46A7" w:rsidP="00F875C4">
      <w:r>
        <w:t xml:space="preserve">No form of CCTV. </w:t>
      </w:r>
      <w:r w:rsidRPr="005A46A7">
        <w:rPr>
          <w:b/>
          <w:bCs/>
        </w:rPr>
        <w:t>Not Compliant</w:t>
      </w:r>
    </w:p>
    <w:p w14:paraId="3263F2DF" w14:textId="43BC7028" w:rsidR="001721FA" w:rsidRDefault="001721FA" w:rsidP="001721FA">
      <w:pPr>
        <w:pStyle w:val="Subtitle"/>
        <w:rPr>
          <w:color w:val="0070C0"/>
        </w:rPr>
      </w:pPr>
      <w:r w:rsidRPr="0049736D">
        <w:rPr>
          <w:color w:val="0070C0"/>
        </w:rPr>
        <w:t>A</w:t>
      </w:r>
      <w:r>
        <w:rPr>
          <w:color w:val="0070C0"/>
        </w:rPr>
        <w:t>8.1</w:t>
      </w:r>
    </w:p>
    <w:p w14:paraId="6CFC4EDD" w14:textId="465763FC" w:rsidR="00F875C4" w:rsidRPr="00F875C4" w:rsidRDefault="001305DB" w:rsidP="00F875C4">
      <w:r>
        <w:t>Password policy in place requiring 90 day change with complexity and at least 8 characters</w:t>
      </w:r>
      <w:r w:rsidR="00D7442A">
        <w:t xml:space="preserve">. </w:t>
      </w:r>
      <w:r w:rsidR="00D7442A" w:rsidRPr="00D7442A">
        <w:rPr>
          <w:b/>
          <w:bCs/>
        </w:rPr>
        <w:t>Partially Compliant</w:t>
      </w:r>
    </w:p>
    <w:p w14:paraId="45ED5970" w14:textId="4C071ED6" w:rsidR="001721FA" w:rsidRDefault="001721FA" w:rsidP="001721FA">
      <w:pPr>
        <w:pStyle w:val="Subtitle"/>
        <w:rPr>
          <w:color w:val="0070C0"/>
        </w:rPr>
      </w:pPr>
      <w:r w:rsidRPr="0049736D">
        <w:rPr>
          <w:color w:val="0070C0"/>
        </w:rPr>
        <w:t>A</w:t>
      </w:r>
      <w:r>
        <w:rPr>
          <w:color w:val="0070C0"/>
        </w:rPr>
        <w:t>8.2</w:t>
      </w:r>
    </w:p>
    <w:p w14:paraId="52718F8C" w14:textId="3534E641" w:rsidR="00D7442A" w:rsidRPr="00D7442A" w:rsidRDefault="00D7442A" w:rsidP="00D7442A">
      <w:r>
        <w:t xml:space="preserve">Admin Capabilities on remote devices. </w:t>
      </w:r>
      <w:r w:rsidRPr="00D7442A">
        <w:rPr>
          <w:b/>
          <w:bCs/>
        </w:rPr>
        <w:t>Not Compliant</w:t>
      </w:r>
    </w:p>
    <w:p w14:paraId="4C358CAB" w14:textId="44F32FF7" w:rsidR="001721FA" w:rsidRDefault="001721FA" w:rsidP="001721FA">
      <w:pPr>
        <w:pStyle w:val="Subtitle"/>
        <w:rPr>
          <w:color w:val="0070C0"/>
        </w:rPr>
      </w:pPr>
      <w:r w:rsidRPr="0049736D">
        <w:rPr>
          <w:color w:val="0070C0"/>
        </w:rPr>
        <w:t>A</w:t>
      </w:r>
      <w:r>
        <w:rPr>
          <w:color w:val="0070C0"/>
        </w:rPr>
        <w:t>8.3</w:t>
      </w:r>
    </w:p>
    <w:p w14:paraId="5137A990" w14:textId="75F61CC8" w:rsidR="00E80662" w:rsidRPr="00E80662" w:rsidRDefault="00E80662" w:rsidP="00E80662">
      <w:r>
        <w:t xml:space="preserve">No policy on securing of data and files, down to employee discretion. </w:t>
      </w:r>
      <w:r w:rsidRPr="00E80662">
        <w:rPr>
          <w:b/>
          <w:bCs/>
        </w:rPr>
        <w:t>Not Compliant</w:t>
      </w:r>
    </w:p>
    <w:p w14:paraId="6D7D6F72" w14:textId="796EB2E0" w:rsidR="001721FA" w:rsidRDefault="001721FA" w:rsidP="001721FA">
      <w:pPr>
        <w:pStyle w:val="Subtitle"/>
        <w:rPr>
          <w:color w:val="0070C0"/>
        </w:rPr>
      </w:pPr>
      <w:r w:rsidRPr="0049736D">
        <w:rPr>
          <w:color w:val="0070C0"/>
        </w:rPr>
        <w:t>A</w:t>
      </w:r>
      <w:r>
        <w:rPr>
          <w:color w:val="0070C0"/>
        </w:rPr>
        <w:t>8.5</w:t>
      </w:r>
    </w:p>
    <w:p w14:paraId="57B474AF" w14:textId="684B32DE" w:rsidR="00254D29" w:rsidRPr="00254D29" w:rsidRDefault="00254D29" w:rsidP="00254D29">
      <w:r>
        <w:t xml:space="preserve">Use of VPN and multifactor authentication. </w:t>
      </w:r>
      <w:r w:rsidRPr="00254D29">
        <w:rPr>
          <w:b/>
          <w:bCs/>
        </w:rPr>
        <w:t>Fully Compliant</w:t>
      </w:r>
    </w:p>
    <w:p w14:paraId="1E6259AC" w14:textId="23963599" w:rsidR="001721FA" w:rsidRDefault="001721FA" w:rsidP="001721FA">
      <w:pPr>
        <w:pStyle w:val="Subtitle"/>
        <w:rPr>
          <w:color w:val="0070C0"/>
        </w:rPr>
      </w:pPr>
      <w:r w:rsidRPr="0049736D">
        <w:rPr>
          <w:color w:val="0070C0"/>
        </w:rPr>
        <w:t>A</w:t>
      </w:r>
      <w:r>
        <w:rPr>
          <w:color w:val="0070C0"/>
        </w:rPr>
        <w:t>8.7</w:t>
      </w:r>
    </w:p>
    <w:p w14:paraId="0A651CC6" w14:textId="2856FDF3" w:rsidR="00254D29" w:rsidRPr="00254D29" w:rsidRDefault="00254D29" w:rsidP="00254D29">
      <w:r>
        <w:t>SIEM, Vulnerability scanner, Antivirus and Firewall in use</w:t>
      </w:r>
      <w:r w:rsidR="00316FD7">
        <w:t>, how ever some applications are outdated</w:t>
      </w:r>
      <w:r>
        <w:t xml:space="preserve"> </w:t>
      </w:r>
      <w:r w:rsidR="00316FD7">
        <w:rPr>
          <w:b/>
          <w:bCs/>
        </w:rPr>
        <w:t>Partially Compliant</w:t>
      </w:r>
    </w:p>
    <w:p w14:paraId="41862A6C" w14:textId="34E1E092" w:rsidR="001721FA" w:rsidRDefault="001721FA" w:rsidP="001721FA">
      <w:pPr>
        <w:pStyle w:val="Subtitle"/>
        <w:rPr>
          <w:color w:val="0070C0"/>
        </w:rPr>
      </w:pPr>
      <w:r w:rsidRPr="0049736D">
        <w:rPr>
          <w:color w:val="0070C0"/>
        </w:rPr>
        <w:t>A</w:t>
      </w:r>
      <w:r>
        <w:rPr>
          <w:color w:val="0070C0"/>
        </w:rPr>
        <w:t>8.8</w:t>
      </w:r>
    </w:p>
    <w:p w14:paraId="28ED4738" w14:textId="3A7A4478" w:rsidR="00B01BBF" w:rsidRPr="00B01BBF" w:rsidRDefault="004223E5" w:rsidP="00B01BBF">
      <w:r>
        <w:t>Same services from A8.7</w:t>
      </w:r>
      <w:r w:rsidR="007838C8">
        <w:t xml:space="preserve"> </w:t>
      </w:r>
      <w:r w:rsidRPr="004223E5">
        <w:rPr>
          <w:b/>
          <w:bCs/>
        </w:rPr>
        <w:t>Partially Compliant</w:t>
      </w:r>
    </w:p>
    <w:p w14:paraId="79473564" w14:textId="7E863BC6" w:rsidR="001721FA" w:rsidRDefault="001721FA" w:rsidP="001721FA">
      <w:pPr>
        <w:pStyle w:val="Subtitle"/>
        <w:rPr>
          <w:color w:val="0070C0"/>
        </w:rPr>
      </w:pPr>
      <w:r w:rsidRPr="0049736D">
        <w:rPr>
          <w:color w:val="0070C0"/>
        </w:rPr>
        <w:t>A</w:t>
      </w:r>
      <w:r>
        <w:rPr>
          <w:color w:val="0070C0"/>
        </w:rPr>
        <w:t>8.9</w:t>
      </w:r>
    </w:p>
    <w:p w14:paraId="70C0D469" w14:textId="55B4C57E" w:rsidR="007838C8" w:rsidRPr="00A17056" w:rsidRDefault="007838C8" w:rsidP="007838C8">
      <w:pPr>
        <w:rPr>
          <w:b/>
          <w:bCs/>
        </w:rPr>
      </w:pPr>
      <w:r>
        <w:lastRenderedPageBreak/>
        <w:t>Generic common password used across office networks</w:t>
      </w:r>
      <w:r w:rsidR="004C560D">
        <w:t>, default SSID names used</w:t>
      </w:r>
      <w:r w:rsidR="00A17056">
        <w:t xml:space="preserve">. </w:t>
      </w:r>
      <w:r w:rsidR="00A17056" w:rsidRPr="00A17056">
        <w:rPr>
          <w:b/>
          <w:bCs/>
        </w:rPr>
        <w:t xml:space="preserve">Not Compliant </w:t>
      </w:r>
    </w:p>
    <w:p w14:paraId="3E41045C" w14:textId="47043F58" w:rsidR="007A6722" w:rsidRDefault="007A6722" w:rsidP="007A6722">
      <w:pPr>
        <w:pStyle w:val="Subtitle"/>
        <w:rPr>
          <w:color w:val="0070C0"/>
        </w:rPr>
      </w:pPr>
      <w:r w:rsidRPr="0049736D">
        <w:rPr>
          <w:color w:val="0070C0"/>
        </w:rPr>
        <w:t>A</w:t>
      </w:r>
      <w:r>
        <w:rPr>
          <w:color w:val="0070C0"/>
        </w:rPr>
        <w:t>8.10</w:t>
      </w:r>
    </w:p>
    <w:p w14:paraId="426BD100" w14:textId="2AA3D05D" w:rsidR="008F5FEF" w:rsidRPr="008F5FEF" w:rsidRDefault="008F5FEF" w:rsidP="008F5FEF">
      <w:r>
        <w:t xml:space="preserve">Ex employee contact information on response plan. </w:t>
      </w:r>
      <w:r w:rsidRPr="008F5FEF">
        <w:rPr>
          <w:b/>
          <w:bCs/>
        </w:rPr>
        <w:t>Not Compliant</w:t>
      </w:r>
    </w:p>
    <w:p w14:paraId="20BE35ED" w14:textId="53491A0E" w:rsidR="007A6722" w:rsidRDefault="007A6722" w:rsidP="007A6722">
      <w:pPr>
        <w:pStyle w:val="Subtitle"/>
        <w:rPr>
          <w:color w:val="0070C0"/>
        </w:rPr>
      </w:pPr>
      <w:r w:rsidRPr="0049736D">
        <w:rPr>
          <w:color w:val="0070C0"/>
        </w:rPr>
        <w:t>A</w:t>
      </w:r>
      <w:r>
        <w:rPr>
          <w:color w:val="0070C0"/>
        </w:rPr>
        <w:t>8.12</w:t>
      </w:r>
    </w:p>
    <w:p w14:paraId="08F83FE5" w14:textId="6DBB4679" w:rsidR="008F5FEF" w:rsidRPr="008F5FEF" w:rsidRDefault="008F5FEF" w:rsidP="008F5FEF">
      <w:r>
        <w:t>Ex employees still have access to internal networks and applications,</w:t>
      </w:r>
      <w:r w:rsidR="00F710B3">
        <w:t xml:space="preserve"> recent devices have been stolen from office and recent attacks. </w:t>
      </w:r>
      <w:r w:rsidR="00F710B3" w:rsidRPr="00F710B3">
        <w:rPr>
          <w:b/>
          <w:bCs/>
        </w:rPr>
        <w:t>Not Compliant</w:t>
      </w:r>
    </w:p>
    <w:p w14:paraId="5DC6A364" w14:textId="394C690A" w:rsidR="007A6722" w:rsidRDefault="007A6722" w:rsidP="007A6722">
      <w:pPr>
        <w:pStyle w:val="Subtitle"/>
        <w:rPr>
          <w:color w:val="0070C0"/>
        </w:rPr>
      </w:pPr>
      <w:r w:rsidRPr="0049736D">
        <w:rPr>
          <w:color w:val="0070C0"/>
        </w:rPr>
        <w:t>A</w:t>
      </w:r>
      <w:r>
        <w:rPr>
          <w:color w:val="0070C0"/>
        </w:rPr>
        <w:t>8.20</w:t>
      </w:r>
    </w:p>
    <w:p w14:paraId="4214DC70" w14:textId="1BA4C73F" w:rsidR="00C975A4" w:rsidRPr="00C975A4" w:rsidRDefault="00C975A4" w:rsidP="00C975A4">
      <w:r>
        <w:t>Default SSID used with common password “</w:t>
      </w:r>
      <w:r>
        <w:rPr>
          <w:i/>
          <w:iCs/>
        </w:rPr>
        <w:t>Spartans2018</w:t>
      </w:r>
      <w:r>
        <w:t xml:space="preserve">”. </w:t>
      </w:r>
      <w:r w:rsidRPr="00C975A4">
        <w:rPr>
          <w:b/>
          <w:bCs/>
        </w:rPr>
        <w:t>Not Compliant</w:t>
      </w:r>
    </w:p>
    <w:p w14:paraId="16BD0E5F" w14:textId="311F6573" w:rsidR="007A6722" w:rsidRDefault="007A6722" w:rsidP="007A6722">
      <w:pPr>
        <w:pStyle w:val="Subtitle"/>
        <w:rPr>
          <w:color w:val="0070C0"/>
        </w:rPr>
      </w:pPr>
      <w:r w:rsidRPr="0049736D">
        <w:rPr>
          <w:color w:val="0070C0"/>
        </w:rPr>
        <w:t>A</w:t>
      </w:r>
      <w:r>
        <w:rPr>
          <w:color w:val="0070C0"/>
        </w:rPr>
        <w:t>8.21</w:t>
      </w:r>
    </w:p>
    <w:p w14:paraId="19845174" w14:textId="650D46DD" w:rsidR="00BD5821" w:rsidRPr="00BD5821" w:rsidRDefault="00BD5821" w:rsidP="00BD5821">
      <w:r>
        <w:t>Default SSID used with common password “</w:t>
      </w:r>
      <w:r>
        <w:rPr>
          <w:i/>
          <w:iCs/>
        </w:rPr>
        <w:t>Spartans2018</w:t>
      </w:r>
      <w:r>
        <w:t xml:space="preserve">”. </w:t>
      </w:r>
      <w:r w:rsidRPr="00C975A4">
        <w:rPr>
          <w:b/>
          <w:bCs/>
        </w:rPr>
        <w:t>Not Compliant</w:t>
      </w:r>
    </w:p>
    <w:p w14:paraId="5C8FBC35" w14:textId="31B9490B" w:rsidR="007A6722" w:rsidRDefault="007A6722" w:rsidP="007A6722">
      <w:pPr>
        <w:pStyle w:val="Subtitle"/>
        <w:rPr>
          <w:color w:val="0070C0"/>
        </w:rPr>
      </w:pPr>
      <w:r w:rsidRPr="0049736D">
        <w:rPr>
          <w:color w:val="0070C0"/>
        </w:rPr>
        <w:t>A</w:t>
      </w:r>
      <w:r>
        <w:rPr>
          <w:color w:val="0070C0"/>
        </w:rPr>
        <w:t>8.22</w:t>
      </w:r>
    </w:p>
    <w:p w14:paraId="30EFEEC6" w14:textId="596EE578" w:rsidR="00BD5821" w:rsidRPr="00BD5821" w:rsidRDefault="00BD5821" w:rsidP="00BD5821">
      <w:r>
        <w:t xml:space="preserve">Production network connected to local office networks. </w:t>
      </w:r>
      <w:r w:rsidRPr="00BD5821">
        <w:rPr>
          <w:b/>
          <w:bCs/>
        </w:rPr>
        <w:t>Not Compliant</w:t>
      </w:r>
    </w:p>
    <w:p w14:paraId="51EC2990" w14:textId="6DB743B1" w:rsidR="007A6722" w:rsidRDefault="007A6722" w:rsidP="007A6722">
      <w:pPr>
        <w:pStyle w:val="Subtitle"/>
        <w:rPr>
          <w:color w:val="0070C0"/>
        </w:rPr>
      </w:pPr>
      <w:r w:rsidRPr="0049736D">
        <w:rPr>
          <w:color w:val="0070C0"/>
        </w:rPr>
        <w:t>A</w:t>
      </w:r>
      <w:r>
        <w:rPr>
          <w:color w:val="0070C0"/>
        </w:rPr>
        <w:t>8.31</w:t>
      </w:r>
    </w:p>
    <w:p w14:paraId="7A7C28B8" w14:textId="0CB2EA89" w:rsidR="00BD5821" w:rsidRDefault="00BD5821" w:rsidP="00BD5821">
      <w:pPr>
        <w:rPr>
          <w:b/>
          <w:bCs/>
        </w:rPr>
      </w:pPr>
      <w:r>
        <w:t xml:space="preserve">Production Network is separated from test / office networks. </w:t>
      </w:r>
      <w:r w:rsidRPr="00BD5821">
        <w:rPr>
          <w:b/>
          <w:bCs/>
        </w:rPr>
        <w:t>Fully Compliant</w:t>
      </w:r>
    </w:p>
    <w:p w14:paraId="4F7F9626" w14:textId="77777777" w:rsidR="00CB1351" w:rsidRDefault="0008356A" w:rsidP="00CB1351">
      <w:pPr>
        <w:keepNext/>
      </w:pPr>
      <w:r>
        <w:rPr>
          <w:noProof/>
        </w:rPr>
        <w:drawing>
          <wp:inline distT="0" distB="0" distL="0" distR="0" wp14:anchorId="47F0100D" wp14:editId="6B17350B">
            <wp:extent cx="5731510" cy="1336675"/>
            <wp:effectExtent l="0" t="0" r="2540" b="0"/>
            <wp:docPr id="128961998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19986" name="Picture 1" descr="A white sheet with black text&#10;&#10;Description automatically generated"/>
                    <pic:cNvPicPr/>
                  </pic:nvPicPr>
                  <pic:blipFill>
                    <a:blip r:embed="rId17"/>
                    <a:stretch>
                      <a:fillRect/>
                    </a:stretch>
                  </pic:blipFill>
                  <pic:spPr>
                    <a:xfrm>
                      <a:off x="0" y="0"/>
                      <a:ext cx="5731510" cy="1336675"/>
                    </a:xfrm>
                    <a:prstGeom prst="rect">
                      <a:avLst/>
                    </a:prstGeom>
                  </pic:spPr>
                </pic:pic>
              </a:graphicData>
            </a:graphic>
          </wp:inline>
        </w:drawing>
      </w:r>
    </w:p>
    <w:p w14:paraId="57317410" w14:textId="2DD9579A" w:rsidR="0008356A" w:rsidRDefault="00CB1351" w:rsidP="00CB1351">
      <w:pPr>
        <w:pStyle w:val="Caption"/>
      </w:pPr>
      <w:r>
        <w:t xml:space="preserve">Figure </w:t>
      </w:r>
      <w:r>
        <w:fldChar w:fldCharType="begin"/>
      </w:r>
      <w:r>
        <w:instrText xml:space="preserve"> SEQ Figure \* ARABIC </w:instrText>
      </w:r>
      <w:r>
        <w:fldChar w:fldCharType="separate"/>
      </w:r>
      <w:r w:rsidR="00D35B2B">
        <w:rPr>
          <w:noProof/>
        </w:rPr>
        <w:t>12</w:t>
      </w:r>
      <w:r>
        <w:fldChar w:fldCharType="end"/>
      </w:r>
      <w:r>
        <w:t xml:space="preserve"> Annex A Company Compliance</w:t>
      </w:r>
    </w:p>
    <w:p w14:paraId="2DF5D3DB" w14:textId="77777777" w:rsidR="00817531" w:rsidRDefault="00817531" w:rsidP="00817531">
      <w:pPr>
        <w:keepNext/>
      </w:pPr>
      <w:r>
        <w:rPr>
          <w:noProof/>
        </w:rPr>
        <w:lastRenderedPageBreak/>
        <w:drawing>
          <wp:inline distT="0" distB="0" distL="0" distR="0" wp14:anchorId="750329D0" wp14:editId="52B2812E">
            <wp:extent cx="5486400" cy="4029075"/>
            <wp:effectExtent l="0" t="0" r="0" b="9525"/>
            <wp:docPr id="42938747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87471" name="Picture 1" descr="A graph of different colored squares&#10;&#10;Description automatically generated"/>
                    <pic:cNvPicPr/>
                  </pic:nvPicPr>
                  <pic:blipFill>
                    <a:blip r:embed="rId18"/>
                    <a:stretch>
                      <a:fillRect/>
                    </a:stretch>
                  </pic:blipFill>
                  <pic:spPr>
                    <a:xfrm>
                      <a:off x="0" y="0"/>
                      <a:ext cx="5486400" cy="4029075"/>
                    </a:xfrm>
                    <a:prstGeom prst="rect">
                      <a:avLst/>
                    </a:prstGeom>
                  </pic:spPr>
                </pic:pic>
              </a:graphicData>
            </a:graphic>
          </wp:inline>
        </w:drawing>
      </w:r>
    </w:p>
    <w:p w14:paraId="70DF7505" w14:textId="289F48A2" w:rsidR="00817531" w:rsidRPr="00817531" w:rsidRDefault="00817531" w:rsidP="00817531">
      <w:pPr>
        <w:pStyle w:val="Caption"/>
      </w:pPr>
      <w:r>
        <w:t xml:space="preserve">Figure </w:t>
      </w:r>
      <w:r>
        <w:fldChar w:fldCharType="begin"/>
      </w:r>
      <w:r>
        <w:instrText xml:space="preserve"> SEQ Figure \* ARABIC </w:instrText>
      </w:r>
      <w:r>
        <w:fldChar w:fldCharType="separate"/>
      </w:r>
      <w:r w:rsidR="00D35B2B">
        <w:rPr>
          <w:noProof/>
        </w:rPr>
        <w:t>13</w:t>
      </w:r>
      <w:r>
        <w:fldChar w:fldCharType="end"/>
      </w:r>
      <w:r>
        <w:t xml:space="preserve"> InnoVAR ISO/IEC 27001:2022 Annex A Gap Analysis</w:t>
      </w:r>
    </w:p>
    <w:p w14:paraId="608B0FDB" w14:textId="77777777" w:rsidR="007A6722" w:rsidRPr="007A6722" w:rsidRDefault="007A6722" w:rsidP="007A6722"/>
    <w:p w14:paraId="061130F4" w14:textId="77777777" w:rsidR="007A6722" w:rsidRPr="007A6722" w:rsidRDefault="007A6722" w:rsidP="007A6722"/>
    <w:p w14:paraId="4AD2DEE0" w14:textId="77777777" w:rsidR="007A6722" w:rsidRPr="007A6722" w:rsidRDefault="007A6722" w:rsidP="007A6722"/>
    <w:p w14:paraId="695E3290" w14:textId="77777777" w:rsidR="007A6722" w:rsidRPr="007A6722" w:rsidRDefault="007A6722" w:rsidP="007A6722"/>
    <w:p w14:paraId="38B55D04" w14:textId="77777777" w:rsidR="007A6722" w:rsidRPr="007A6722" w:rsidRDefault="007A6722" w:rsidP="007A6722"/>
    <w:p w14:paraId="5D557B76" w14:textId="535D52DF" w:rsidR="007A6722" w:rsidRPr="007A6722" w:rsidRDefault="007A6722" w:rsidP="007A6722">
      <w:pPr>
        <w:rPr>
          <w:b/>
          <w:bCs/>
        </w:rPr>
      </w:pPr>
    </w:p>
    <w:p w14:paraId="4735A045" w14:textId="77777777" w:rsidR="001721FA" w:rsidRPr="001721FA" w:rsidRDefault="001721FA" w:rsidP="001721FA"/>
    <w:p w14:paraId="06A81556" w14:textId="77777777" w:rsidR="001721FA" w:rsidRPr="001721FA" w:rsidRDefault="001721FA" w:rsidP="001721FA"/>
    <w:p w14:paraId="2352FB7A" w14:textId="77777777" w:rsidR="001721FA" w:rsidRPr="001721FA" w:rsidRDefault="001721FA" w:rsidP="001721FA"/>
    <w:p w14:paraId="44F5A25B" w14:textId="77777777" w:rsidR="001721FA" w:rsidRPr="001721FA" w:rsidRDefault="001721FA" w:rsidP="001721FA"/>
    <w:p w14:paraId="21F5CB1A" w14:textId="77777777" w:rsidR="001721FA" w:rsidRPr="001721FA" w:rsidRDefault="001721FA" w:rsidP="001721FA"/>
    <w:p w14:paraId="7D129044" w14:textId="77777777" w:rsidR="001721FA" w:rsidRPr="001721FA" w:rsidRDefault="001721FA" w:rsidP="001721FA"/>
    <w:p w14:paraId="1762D761" w14:textId="77777777" w:rsidR="001721FA" w:rsidRPr="001721FA" w:rsidRDefault="001721FA" w:rsidP="001721FA"/>
    <w:p w14:paraId="7453D5A0" w14:textId="77777777" w:rsidR="00233701" w:rsidRPr="00233701" w:rsidRDefault="00233701" w:rsidP="00233701"/>
    <w:p w14:paraId="4CE0A8FB" w14:textId="06B1D62F" w:rsidR="001735E8" w:rsidRDefault="00A51F55" w:rsidP="00795E33">
      <w:pPr>
        <w:pStyle w:val="Heading1"/>
        <w:rPr>
          <w:color w:val="0070C0"/>
        </w:rPr>
      </w:pPr>
      <w:bookmarkStart w:id="9" w:name="_Toc183690943"/>
      <w:r w:rsidRPr="00A1242A">
        <w:rPr>
          <w:color w:val="0070C0"/>
        </w:rPr>
        <w:lastRenderedPageBreak/>
        <w:t>Security Programme</w:t>
      </w:r>
      <w:bookmarkEnd w:id="9"/>
    </w:p>
    <w:p w14:paraId="6E7AF58A" w14:textId="11C882B9" w:rsidR="00835A3B" w:rsidRDefault="00835A3B" w:rsidP="00835A3B">
      <w:r>
        <w:t>Outlined in the Security Programme is a 1 year time line</w:t>
      </w:r>
      <w:r w:rsidR="0060263C">
        <w:t xml:space="preserve"> that InnoVAR is suggested to follow to address the vulnerabilities </w:t>
      </w:r>
      <w:r w:rsidR="00F67A16">
        <w:t xml:space="preserve">and risks that they face. Due to time constraints, The Security Programme Does not show the proposed </w:t>
      </w:r>
      <w:r w:rsidR="007B3B40">
        <w:t xml:space="preserve">controls and countermeasures, how ever the risk register provides detailed recommendations to </w:t>
      </w:r>
      <w:r w:rsidR="008E4915">
        <w:t>align with the ISO/IEC 27001:2002 Annex A controls</w:t>
      </w:r>
      <w:r w:rsidR="007B3B40">
        <w:t>.</w:t>
      </w:r>
    </w:p>
    <w:p w14:paraId="65F478C3" w14:textId="73735602" w:rsidR="007B3B40" w:rsidRDefault="00D06C09" w:rsidP="00835A3B">
      <w:r>
        <w:t xml:space="preserve">The security </w:t>
      </w:r>
      <w:r w:rsidR="00106A31">
        <w:t>programme</w:t>
      </w:r>
      <w:r>
        <w:t xml:space="preserve"> first suggests addressing the critical vulnerabilities discovered. These are:</w:t>
      </w:r>
    </w:p>
    <w:p w14:paraId="7F41781A" w14:textId="4A984103" w:rsidR="00D06C09" w:rsidRDefault="00D06C09" w:rsidP="00D06C09">
      <w:pPr>
        <w:pStyle w:val="ListParagraph"/>
        <w:numPr>
          <w:ilvl w:val="0"/>
          <w:numId w:val="14"/>
        </w:numPr>
      </w:pPr>
      <w:r>
        <w:t>Remote Local Administrator Access</w:t>
      </w:r>
    </w:p>
    <w:p w14:paraId="6062264E" w14:textId="7B024724" w:rsidR="00D06C09" w:rsidRDefault="00D06C09" w:rsidP="00D06C09">
      <w:pPr>
        <w:pStyle w:val="ListParagraph"/>
        <w:numPr>
          <w:ilvl w:val="0"/>
          <w:numId w:val="14"/>
        </w:numPr>
      </w:pPr>
      <w:r>
        <w:t>Unsecured data stored</w:t>
      </w:r>
    </w:p>
    <w:p w14:paraId="662D2098" w14:textId="401F2621" w:rsidR="00D06C09" w:rsidRDefault="00D06C09" w:rsidP="00D06C09">
      <w:pPr>
        <w:pStyle w:val="ListParagraph"/>
        <w:numPr>
          <w:ilvl w:val="0"/>
          <w:numId w:val="14"/>
        </w:numPr>
      </w:pPr>
      <w:r>
        <w:t xml:space="preserve">Unrevoked </w:t>
      </w:r>
      <w:r w:rsidR="00106A31">
        <w:t>ex-employee</w:t>
      </w:r>
      <w:r>
        <w:t xml:space="preserve"> access</w:t>
      </w:r>
    </w:p>
    <w:p w14:paraId="2F73356B" w14:textId="29B58085" w:rsidR="00D06C09" w:rsidRDefault="00D06C09" w:rsidP="00D06C09">
      <w:pPr>
        <w:pStyle w:val="ListParagraph"/>
        <w:numPr>
          <w:ilvl w:val="0"/>
          <w:numId w:val="14"/>
        </w:numPr>
      </w:pPr>
      <w:r>
        <w:t>Repeated password across networks</w:t>
      </w:r>
    </w:p>
    <w:p w14:paraId="43650724" w14:textId="68CA5C90" w:rsidR="00DF3718" w:rsidRDefault="00DF3718" w:rsidP="00DF3718">
      <w:pPr>
        <w:pStyle w:val="ListParagraph"/>
        <w:numPr>
          <w:ilvl w:val="0"/>
          <w:numId w:val="14"/>
        </w:numPr>
      </w:pPr>
      <w:r>
        <w:t>No logical access controls from office networks</w:t>
      </w:r>
    </w:p>
    <w:p w14:paraId="1079918E" w14:textId="52F2E3AA" w:rsidR="00D06C09" w:rsidRDefault="00D06C09" w:rsidP="00D06C09">
      <w:pPr>
        <w:pStyle w:val="ListParagraph"/>
        <w:numPr>
          <w:ilvl w:val="0"/>
          <w:numId w:val="14"/>
        </w:numPr>
      </w:pPr>
      <w:r>
        <w:t>Repeated password used for resets</w:t>
      </w:r>
    </w:p>
    <w:p w14:paraId="76DB4AB1" w14:textId="5264A545" w:rsidR="00D06C09" w:rsidRDefault="00D06C09" w:rsidP="00D06C09">
      <w:pPr>
        <w:pStyle w:val="ListParagraph"/>
        <w:numPr>
          <w:ilvl w:val="0"/>
          <w:numId w:val="14"/>
        </w:numPr>
      </w:pPr>
      <w:r>
        <w:t>Outdated incident response plan</w:t>
      </w:r>
    </w:p>
    <w:p w14:paraId="001955DC" w14:textId="0C1BC687" w:rsidR="00D06C09" w:rsidRDefault="00D06C09" w:rsidP="00D06C09">
      <w:pPr>
        <w:pStyle w:val="ListParagraph"/>
        <w:numPr>
          <w:ilvl w:val="0"/>
          <w:numId w:val="14"/>
        </w:numPr>
      </w:pPr>
      <w:r>
        <w:t>No response or recovery test / training</w:t>
      </w:r>
    </w:p>
    <w:p w14:paraId="5F707196" w14:textId="3E01A1D6" w:rsidR="00106A31" w:rsidRDefault="00D06C09" w:rsidP="00106A31">
      <w:pPr>
        <w:pStyle w:val="ListParagraph"/>
        <w:numPr>
          <w:ilvl w:val="0"/>
          <w:numId w:val="14"/>
        </w:numPr>
      </w:pPr>
      <w:r>
        <w:t>Terminated employee contact information</w:t>
      </w:r>
    </w:p>
    <w:p w14:paraId="2763EED6" w14:textId="77777777" w:rsidR="00106A31" w:rsidRDefault="00106A31" w:rsidP="00106A31"/>
    <w:p w14:paraId="70BCA178" w14:textId="0077A1CE" w:rsidR="00106A31" w:rsidRDefault="00106A31" w:rsidP="00106A31">
      <w:r>
        <w:t>By addressing theses areas,</w:t>
      </w:r>
      <w:r w:rsidR="00300D3C">
        <w:t xml:space="preserve"> InnoVAR</w:t>
      </w:r>
      <w:r>
        <w:t xml:space="preserve"> can negate a significant amount of risk, having </w:t>
      </w:r>
      <w:r w:rsidR="00300D3C">
        <w:t xml:space="preserve">mitigated against technical vulnerabilities and implemented an IT policy, Password Policy and </w:t>
      </w:r>
      <w:r w:rsidR="004B4AE3">
        <w:t>Incident Response Plan.</w:t>
      </w:r>
    </w:p>
    <w:p w14:paraId="410691F8" w14:textId="2483FF47" w:rsidR="00300A61" w:rsidRDefault="00300A61" w:rsidP="00106A31">
      <w:r>
        <w:t>Rolling hiring of full time IT Security employees should be conducted, to mitigate against several vulnerabilities faced by having just 1 part time employee. This also allows</w:t>
      </w:r>
      <w:r w:rsidR="003B4BD8">
        <w:t xml:space="preserve"> for a more efficient delivery of the </w:t>
      </w:r>
      <w:r w:rsidR="005279AF">
        <w:t>timeline</w:t>
      </w:r>
      <w:r w:rsidR="00F701D4">
        <w:t xml:space="preserve"> and is aligned with several controls.</w:t>
      </w:r>
    </w:p>
    <w:p w14:paraId="6B67BD0A" w14:textId="3D5EFB28" w:rsidR="00DC3202" w:rsidRDefault="00DC3202" w:rsidP="00106A31">
      <w:r>
        <w:t>Technical vulnerabilities should be mitigated swiftly, A significant amount of InnoVARs technical vulnerabilities can be</w:t>
      </w:r>
      <w:r w:rsidR="00F701D4">
        <w:t xml:space="preserve"> mitigated by conducting regular software updates, where these known vulnerabilities are patched.</w:t>
      </w:r>
    </w:p>
    <w:p w14:paraId="439B7538" w14:textId="115CDADE" w:rsidR="00223A8B" w:rsidRDefault="00223A8B" w:rsidP="00106A31">
      <w:r>
        <w:t xml:space="preserve">Medium and </w:t>
      </w:r>
      <w:r w:rsidR="008B5E32">
        <w:t>Low vulnerabilities should be mitigated on a rolling basis after substantial amount of high risks mitigated.</w:t>
      </w:r>
    </w:p>
    <w:p w14:paraId="2625547E" w14:textId="6AB692B5" w:rsidR="008B5E32" w:rsidRDefault="008B5E32" w:rsidP="00106A31">
      <w:r>
        <w:t>Employee security training, awareness and education should be conducted every 3 months</w:t>
      </w:r>
      <w:r w:rsidR="00C71D8D">
        <w:t>.</w:t>
      </w:r>
    </w:p>
    <w:p w14:paraId="594CE389" w14:textId="65DFDFB1" w:rsidR="00D84297" w:rsidRDefault="00D84297" w:rsidP="00106A31"/>
    <w:p w14:paraId="5E6EBCF4" w14:textId="77777777" w:rsidR="00953A36" w:rsidRDefault="00953A36" w:rsidP="00106A31"/>
    <w:p w14:paraId="0001A205" w14:textId="77777777" w:rsidR="00953A36" w:rsidRDefault="00953A36" w:rsidP="00106A31"/>
    <w:p w14:paraId="4AA9B663" w14:textId="39E43066" w:rsidR="00953A36" w:rsidRPr="00953A36" w:rsidRDefault="001735E8" w:rsidP="00953A36">
      <w:pPr>
        <w:pStyle w:val="Heading1"/>
        <w:rPr>
          <w:color w:val="0070C0"/>
        </w:rPr>
      </w:pPr>
      <w:bookmarkStart w:id="10" w:name="_Toc183690944"/>
      <w:r w:rsidRPr="00A1242A">
        <w:rPr>
          <w:color w:val="0070C0"/>
        </w:rPr>
        <w:lastRenderedPageBreak/>
        <w:t>References</w:t>
      </w:r>
      <w:bookmarkEnd w:id="10"/>
    </w:p>
    <w:p w14:paraId="6BC6C58F" w14:textId="77777777" w:rsidR="00953A36" w:rsidRPr="00953A36" w:rsidRDefault="00953A36" w:rsidP="00953A36">
      <w:r w:rsidRPr="00953A36">
        <w:t xml:space="preserve">NIST (2022). </w:t>
      </w:r>
      <w:r w:rsidRPr="00953A36">
        <w:rPr>
          <w:i/>
          <w:iCs/>
        </w:rPr>
        <w:t>NVD - Vulnerability Metrics</w:t>
      </w:r>
      <w:r w:rsidRPr="00953A36">
        <w:t>. [online] Nist.gov. Available at: https://nvd.nist.gov/vuln-metrics/cvss.</w:t>
      </w:r>
    </w:p>
    <w:p w14:paraId="4395F7BC" w14:textId="77777777" w:rsidR="00953A36" w:rsidRPr="00953A36" w:rsidRDefault="00953A36" w:rsidP="00953A36">
      <w:r w:rsidRPr="00953A36">
        <w:t xml:space="preserve">Nist.gov. (2019a). </w:t>
      </w:r>
      <w:r w:rsidRPr="00953A36">
        <w:rPr>
          <w:i/>
          <w:iCs/>
        </w:rPr>
        <w:t>NVD - cve-2019-1708</w:t>
      </w:r>
      <w:r w:rsidRPr="00953A36">
        <w:t>. [online] Available at: https://nvd.nist.gov/vuln/detail/cve-2019-1708 [Accessed 28 Nov. 2024].</w:t>
      </w:r>
    </w:p>
    <w:p w14:paraId="6B4DB9A4" w14:textId="77777777" w:rsidR="00953A36" w:rsidRPr="00953A36" w:rsidRDefault="00953A36" w:rsidP="00953A36">
      <w:r w:rsidRPr="00953A36">
        <w:t xml:space="preserve">Nist.gov. (2019b). </w:t>
      </w:r>
      <w:r w:rsidRPr="00953A36">
        <w:rPr>
          <w:i/>
          <w:iCs/>
        </w:rPr>
        <w:t>NVD - cve-2019-1714</w:t>
      </w:r>
      <w:r w:rsidRPr="00953A36">
        <w:t>. [online] Available at: https://nvd.nist.gov/vuln/detail/cve-2019-1714 [Accessed 28 Nov. 2024].</w:t>
      </w:r>
    </w:p>
    <w:p w14:paraId="1FD7BA52" w14:textId="77777777" w:rsidR="00953A36" w:rsidRPr="00953A36" w:rsidRDefault="00953A36" w:rsidP="00953A36">
      <w:r w:rsidRPr="00953A36">
        <w:t xml:space="preserve">Nist.gov. (2019c). </w:t>
      </w:r>
      <w:r w:rsidRPr="00953A36">
        <w:rPr>
          <w:i/>
          <w:iCs/>
        </w:rPr>
        <w:t>NVD - cve-2019-1715</w:t>
      </w:r>
      <w:r w:rsidRPr="00953A36">
        <w:t>. [online] Available at: https://nvd.nist.gov/vuln/detail/cve-2019-1715 [Accessed 28 Nov. 2024].</w:t>
      </w:r>
    </w:p>
    <w:p w14:paraId="3213AB70" w14:textId="77777777" w:rsidR="00953A36" w:rsidRPr="00953A36" w:rsidRDefault="00953A36" w:rsidP="00953A36">
      <w:r w:rsidRPr="00953A36">
        <w:t xml:space="preserve">Nist.gov. (2019d). </w:t>
      </w:r>
      <w:r w:rsidRPr="00953A36">
        <w:rPr>
          <w:i/>
          <w:iCs/>
        </w:rPr>
        <w:t>NVD - CVE-2019-1853</w:t>
      </w:r>
      <w:r w:rsidRPr="00953A36">
        <w:t>. [online] Available at: https://nvd.nist.gov/vuln/detail/CVE-2019-1853 [Accessed 28 Nov. 2024].</w:t>
      </w:r>
    </w:p>
    <w:p w14:paraId="37A4C4C0" w14:textId="77777777" w:rsidR="00953A36" w:rsidRPr="00953A36" w:rsidRDefault="00953A36" w:rsidP="00953A36">
      <w:r w:rsidRPr="00953A36">
        <w:t xml:space="preserve">Nist.gov. (2021). </w:t>
      </w:r>
      <w:r w:rsidRPr="00953A36">
        <w:rPr>
          <w:i/>
          <w:iCs/>
        </w:rPr>
        <w:t>NVD - CVE-2021-34788</w:t>
      </w:r>
      <w:r w:rsidRPr="00953A36">
        <w:t>. [online] Available at: https://nvd.nist.gov/vuln/detail/CVE-2021-34788 [Accessed 28 Nov. 2024].</w:t>
      </w:r>
    </w:p>
    <w:p w14:paraId="471CC427" w14:textId="77777777" w:rsidR="00953A36" w:rsidRPr="00953A36" w:rsidRDefault="00953A36" w:rsidP="00953A36">
      <w:r w:rsidRPr="00953A36">
        <w:t xml:space="preserve">Puzder, D. (2023). </w:t>
      </w:r>
      <w:r w:rsidRPr="00953A36">
        <w:rPr>
          <w:i/>
          <w:iCs/>
        </w:rPr>
        <w:t>Vulnerabilities, Threats, and Risks Explained | Office of Information Security | Washington University in St. Louis</w:t>
      </w:r>
      <w:r w:rsidRPr="00953A36">
        <w:t>. [online] informationsecurity.wustl.edu. Available at: https://informationsecurity.wustl.edu/vulnerabilities-threats-and-risks-explained/.</w:t>
      </w:r>
    </w:p>
    <w:p w14:paraId="359DF42B" w14:textId="77777777" w:rsidR="00953A36" w:rsidRPr="00953A36" w:rsidRDefault="00953A36" w:rsidP="00953A36">
      <w:r w:rsidRPr="00953A36">
        <w:t xml:space="preserve">SBS CyberSecurity (2021). </w:t>
      </w:r>
      <w:r w:rsidRPr="00953A36">
        <w:rPr>
          <w:i/>
          <w:iCs/>
        </w:rPr>
        <w:t>The Danger of Local Administrative Privileges</w:t>
      </w:r>
      <w:r w:rsidRPr="00953A36">
        <w:t>. [online] sbscyber.com. Available at: https://sbscyber.com/blog/the-danger-of-local-administrative-privileges.</w:t>
      </w:r>
    </w:p>
    <w:p w14:paraId="52E64A97" w14:textId="77777777" w:rsidR="00953A36" w:rsidRPr="00953A36" w:rsidRDefault="00953A36" w:rsidP="00953A36"/>
    <w:p w14:paraId="7D25F9FC" w14:textId="77777777" w:rsidR="00AD6A80" w:rsidRPr="00AD6A80" w:rsidRDefault="00AD6A80" w:rsidP="00AD6A80"/>
    <w:sectPr w:rsidR="00AD6A80" w:rsidRPr="00AD6A80" w:rsidSect="002665C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52704" w14:textId="77777777" w:rsidR="00583523" w:rsidRDefault="00583523" w:rsidP="00326848">
      <w:pPr>
        <w:spacing w:after="0" w:line="240" w:lineRule="auto"/>
      </w:pPr>
      <w:r>
        <w:separator/>
      </w:r>
    </w:p>
  </w:endnote>
  <w:endnote w:type="continuationSeparator" w:id="0">
    <w:p w14:paraId="565736EA" w14:textId="77777777" w:rsidR="00583523" w:rsidRDefault="00583523" w:rsidP="00326848">
      <w:pPr>
        <w:spacing w:after="0" w:line="240" w:lineRule="auto"/>
      </w:pPr>
      <w:r>
        <w:continuationSeparator/>
      </w:r>
    </w:p>
  </w:endnote>
  <w:endnote w:type="continuationNotice" w:id="1">
    <w:p w14:paraId="1326B649" w14:textId="77777777" w:rsidR="00583523" w:rsidRDefault="005835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285597"/>
      <w:docPartObj>
        <w:docPartGallery w:val="Page Numbers (Bottom of Page)"/>
        <w:docPartUnique/>
      </w:docPartObj>
    </w:sdtPr>
    <w:sdtContent>
      <w:sdt>
        <w:sdtPr>
          <w:id w:val="-1769616900"/>
          <w:docPartObj>
            <w:docPartGallery w:val="Page Numbers (Top of Page)"/>
            <w:docPartUnique/>
          </w:docPartObj>
        </w:sdtPr>
        <w:sdtContent>
          <w:p w14:paraId="7C5DF8DA" w14:textId="1BC36616" w:rsidR="00326848" w:rsidRDefault="00326848">
            <w:pPr>
              <w:pStyle w:val="Footer"/>
              <w:jc w:val="right"/>
            </w:pPr>
            <w:r w:rsidRPr="00326848">
              <w:rPr>
                <w:color w:val="0070C0"/>
              </w:rPr>
              <w:t xml:space="preserve">Page </w:t>
            </w:r>
            <w:r w:rsidRPr="00326848">
              <w:rPr>
                <w:b/>
                <w:bCs/>
                <w:color w:val="0070C0"/>
              </w:rPr>
              <w:fldChar w:fldCharType="begin"/>
            </w:r>
            <w:r w:rsidRPr="00326848">
              <w:rPr>
                <w:b/>
                <w:bCs/>
                <w:color w:val="0070C0"/>
              </w:rPr>
              <w:instrText>PAGE</w:instrText>
            </w:r>
            <w:r w:rsidRPr="00326848">
              <w:rPr>
                <w:b/>
                <w:bCs/>
                <w:color w:val="0070C0"/>
              </w:rPr>
              <w:fldChar w:fldCharType="separate"/>
            </w:r>
            <w:r w:rsidRPr="00326848">
              <w:rPr>
                <w:b/>
                <w:bCs/>
                <w:color w:val="0070C0"/>
              </w:rPr>
              <w:t>2</w:t>
            </w:r>
            <w:r w:rsidRPr="00326848">
              <w:rPr>
                <w:b/>
                <w:bCs/>
                <w:color w:val="0070C0"/>
              </w:rPr>
              <w:fldChar w:fldCharType="end"/>
            </w:r>
            <w:r w:rsidRPr="00326848">
              <w:rPr>
                <w:color w:val="0070C0"/>
              </w:rPr>
              <w:t xml:space="preserve"> of </w:t>
            </w:r>
            <w:r w:rsidRPr="00326848">
              <w:rPr>
                <w:b/>
                <w:bCs/>
                <w:color w:val="0070C0"/>
              </w:rPr>
              <w:fldChar w:fldCharType="begin"/>
            </w:r>
            <w:r w:rsidRPr="00326848">
              <w:rPr>
                <w:b/>
                <w:bCs/>
                <w:color w:val="0070C0"/>
              </w:rPr>
              <w:instrText>NUMPAGES</w:instrText>
            </w:r>
            <w:r w:rsidRPr="00326848">
              <w:rPr>
                <w:b/>
                <w:bCs/>
                <w:color w:val="0070C0"/>
              </w:rPr>
              <w:fldChar w:fldCharType="separate"/>
            </w:r>
            <w:r w:rsidRPr="00326848">
              <w:rPr>
                <w:b/>
                <w:bCs/>
                <w:color w:val="0070C0"/>
              </w:rPr>
              <w:t>2</w:t>
            </w:r>
            <w:r w:rsidRPr="00326848">
              <w:rPr>
                <w:b/>
                <w:bCs/>
                <w:color w:val="0070C0"/>
              </w:rPr>
              <w:fldChar w:fldCharType="end"/>
            </w:r>
          </w:p>
        </w:sdtContent>
      </w:sdt>
    </w:sdtContent>
  </w:sdt>
  <w:p w14:paraId="7D0B5253" w14:textId="1F5F0805" w:rsidR="00326848" w:rsidRDefault="00326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6F685" w14:textId="77777777" w:rsidR="00583523" w:rsidRDefault="00583523" w:rsidP="00326848">
      <w:pPr>
        <w:spacing w:after="0" w:line="240" w:lineRule="auto"/>
      </w:pPr>
      <w:r>
        <w:separator/>
      </w:r>
    </w:p>
  </w:footnote>
  <w:footnote w:type="continuationSeparator" w:id="0">
    <w:p w14:paraId="69D6B937" w14:textId="77777777" w:rsidR="00583523" w:rsidRDefault="00583523" w:rsidP="00326848">
      <w:pPr>
        <w:spacing w:after="0" w:line="240" w:lineRule="auto"/>
      </w:pPr>
      <w:r>
        <w:continuationSeparator/>
      </w:r>
    </w:p>
  </w:footnote>
  <w:footnote w:type="continuationNotice" w:id="1">
    <w:p w14:paraId="3BF2D460" w14:textId="77777777" w:rsidR="00583523" w:rsidRDefault="005835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BCF43" w14:textId="49F43534" w:rsidR="00326848" w:rsidRDefault="00326848">
    <w:pPr>
      <w:pStyle w:val="Header"/>
    </w:pPr>
    <w:r>
      <w:rPr>
        <w:noProof/>
      </w:rPr>
      <mc:AlternateContent>
        <mc:Choice Requires="wps">
          <w:drawing>
            <wp:anchor distT="0" distB="0" distL="118745" distR="118745" simplePos="0" relativeHeight="251658240" behindDoc="1" locked="0" layoutInCell="1" allowOverlap="0" wp14:anchorId="38A9E50E" wp14:editId="68C529C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72AD22" w14:textId="48B4AD6B" w:rsidR="00326848" w:rsidRDefault="00326848">
                              <w:pPr>
                                <w:pStyle w:val="Header"/>
                                <w:jc w:val="center"/>
                                <w:rPr>
                                  <w:caps/>
                                  <w:color w:val="FFFFFF" w:themeColor="background1"/>
                                </w:rPr>
                              </w:pPr>
                              <w:r>
                                <w:rPr>
                                  <w:caps/>
                                  <w:color w:val="FFFFFF" w:themeColor="background1"/>
                                </w:rPr>
                                <w:t>CMM517 cOURSEWORK – rORY Cameron 2002511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8A9E50E"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72AD22" w14:textId="48B4AD6B" w:rsidR="00326848" w:rsidRDefault="00326848">
                        <w:pPr>
                          <w:pStyle w:val="Header"/>
                          <w:jc w:val="center"/>
                          <w:rPr>
                            <w:caps/>
                            <w:color w:val="FFFFFF" w:themeColor="background1"/>
                          </w:rPr>
                        </w:pPr>
                        <w:r>
                          <w:rPr>
                            <w:caps/>
                            <w:color w:val="FFFFFF" w:themeColor="background1"/>
                          </w:rPr>
                          <w:t>CMM517 cOURSEWORK – rORY Cameron 2002511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B509B"/>
    <w:multiLevelType w:val="hybridMultilevel"/>
    <w:tmpl w:val="F6BC1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44744"/>
    <w:multiLevelType w:val="hybridMultilevel"/>
    <w:tmpl w:val="69BCB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A7622"/>
    <w:multiLevelType w:val="hybridMultilevel"/>
    <w:tmpl w:val="3B8CD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A0FA0"/>
    <w:multiLevelType w:val="hybridMultilevel"/>
    <w:tmpl w:val="7494B6BC"/>
    <w:lvl w:ilvl="0" w:tplc="FCDABF5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5324C"/>
    <w:multiLevelType w:val="hybridMultilevel"/>
    <w:tmpl w:val="61F8F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96356"/>
    <w:multiLevelType w:val="hybridMultilevel"/>
    <w:tmpl w:val="CF7C6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521DDE"/>
    <w:multiLevelType w:val="hybridMultilevel"/>
    <w:tmpl w:val="B560B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0C7BEB"/>
    <w:multiLevelType w:val="hybridMultilevel"/>
    <w:tmpl w:val="33AA8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3233BD"/>
    <w:multiLevelType w:val="hybridMultilevel"/>
    <w:tmpl w:val="AF7493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A5017"/>
    <w:multiLevelType w:val="hybridMultilevel"/>
    <w:tmpl w:val="CA06ED70"/>
    <w:lvl w:ilvl="0" w:tplc="90A0B53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7E496F"/>
    <w:multiLevelType w:val="hybridMultilevel"/>
    <w:tmpl w:val="57A007B8"/>
    <w:lvl w:ilvl="0" w:tplc="BC581692">
      <w:start w:val="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415D9B"/>
    <w:multiLevelType w:val="hybridMultilevel"/>
    <w:tmpl w:val="B41E73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9E6011"/>
    <w:multiLevelType w:val="hybridMultilevel"/>
    <w:tmpl w:val="5CFC88F4"/>
    <w:lvl w:ilvl="0" w:tplc="717C17E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6264E"/>
    <w:multiLevelType w:val="hybridMultilevel"/>
    <w:tmpl w:val="E52A2260"/>
    <w:lvl w:ilvl="0" w:tplc="2B04989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884656"/>
    <w:multiLevelType w:val="hybridMultilevel"/>
    <w:tmpl w:val="29B0AFD6"/>
    <w:lvl w:ilvl="0" w:tplc="D67E3D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5348796">
    <w:abstractNumId w:val="14"/>
  </w:num>
  <w:num w:numId="2" w16cid:durableId="935137792">
    <w:abstractNumId w:val="12"/>
  </w:num>
  <w:num w:numId="3" w16cid:durableId="1654140159">
    <w:abstractNumId w:val="3"/>
  </w:num>
  <w:num w:numId="4" w16cid:durableId="1805001189">
    <w:abstractNumId w:val="0"/>
  </w:num>
  <w:num w:numId="5" w16cid:durableId="202836961">
    <w:abstractNumId w:val="5"/>
  </w:num>
  <w:num w:numId="6" w16cid:durableId="1557009392">
    <w:abstractNumId w:val="7"/>
  </w:num>
  <w:num w:numId="7" w16cid:durableId="80759940">
    <w:abstractNumId w:val="1"/>
  </w:num>
  <w:num w:numId="8" w16cid:durableId="1043016775">
    <w:abstractNumId w:val="11"/>
  </w:num>
  <w:num w:numId="9" w16cid:durableId="713122607">
    <w:abstractNumId w:val="9"/>
  </w:num>
  <w:num w:numId="10" w16cid:durableId="1366058831">
    <w:abstractNumId w:val="13"/>
  </w:num>
  <w:num w:numId="11" w16cid:durableId="282538055">
    <w:abstractNumId w:val="6"/>
  </w:num>
  <w:num w:numId="12" w16cid:durableId="1899896779">
    <w:abstractNumId w:val="8"/>
  </w:num>
  <w:num w:numId="13" w16cid:durableId="355428604">
    <w:abstractNumId w:val="10"/>
  </w:num>
  <w:num w:numId="14" w16cid:durableId="1275552004">
    <w:abstractNumId w:val="2"/>
  </w:num>
  <w:num w:numId="15" w16cid:durableId="153377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48"/>
    <w:rsid w:val="00002075"/>
    <w:rsid w:val="00004ED6"/>
    <w:rsid w:val="000214DE"/>
    <w:rsid w:val="00027FD8"/>
    <w:rsid w:val="000318E7"/>
    <w:rsid w:val="000349BA"/>
    <w:rsid w:val="000364C0"/>
    <w:rsid w:val="0004583A"/>
    <w:rsid w:val="00056B20"/>
    <w:rsid w:val="000613E7"/>
    <w:rsid w:val="00065487"/>
    <w:rsid w:val="00074C2A"/>
    <w:rsid w:val="00077161"/>
    <w:rsid w:val="0008356A"/>
    <w:rsid w:val="00083A8F"/>
    <w:rsid w:val="000955BC"/>
    <w:rsid w:val="000A25BF"/>
    <w:rsid w:val="000A3296"/>
    <w:rsid w:val="000A4FC3"/>
    <w:rsid w:val="000B111B"/>
    <w:rsid w:val="000C1D58"/>
    <w:rsid w:val="000C22F2"/>
    <w:rsid w:val="000C541F"/>
    <w:rsid w:val="000C5E30"/>
    <w:rsid w:val="000C5F36"/>
    <w:rsid w:val="000C730F"/>
    <w:rsid w:val="000D3073"/>
    <w:rsid w:val="000D44D1"/>
    <w:rsid w:val="000D56FB"/>
    <w:rsid w:val="001059CA"/>
    <w:rsid w:val="00105A83"/>
    <w:rsid w:val="0010688B"/>
    <w:rsid w:val="00106A31"/>
    <w:rsid w:val="00111671"/>
    <w:rsid w:val="001200EE"/>
    <w:rsid w:val="001305DB"/>
    <w:rsid w:val="0013619E"/>
    <w:rsid w:val="00137312"/>
    <w:rsid w:val="00137C41"/>
    <w:rsid w:val="00142D13"/>
    <w:rsid w:val="0014387E"/>
    <w:rsid w:val="00144953"/>
    <w:rsid w:val="00153160"/>
    <w:rsid w:val="00155333"/>
    <w:rsid w:val="00165501"/>
    <w:rsid w:val="00170096"/>
    <w:rsid w:val="00171BD8"/>
    <w:rsid w:val="00171F92"/>
    <w:rsid w:val="001721FA"/>
    <w:rsid w:val="00173383"/>
    <w:rsid w:val="001735E8"/>
    <w:rsid w:val="00190DA4"/>
    <w:rsid w:val="00195084"/>
    <w:rsid w:val="001A1CF3"/>
    <w:rsid w:val="001A4AAE"/>
    <w:rsid w:val="001A4B26"/>
    <w:rsid w:val="001B1272"/>
    <w:rsid w:val="001B5746"/>
    <w:rsid w:val="001C1123"/>
    <w:rsid w:val="001C6427"/>
    <w:rsid w:val="001C7413"/>
    <w:rsid w:val="001D30F2"/>
    <w:rsid w:val="001D5806"/>
    <w:rsid w:val="001D6A2C"/>
    <w:rsid w:val="001E0D3C"/>
    <w:rsid w:val="001E1919"/>
    <w:rsid w:val="001E43CC"/>
    <w:rsid w:val="001E6285"/>
    <w:rsid w:val="001E6EEA"/>
    <w:rsid w:val="001F0A34"/>
    <w:rsid w:val="001F73EB"/>
    <w:rsid w:val="0020193E"/>
    <w:rsid w:val="002039BB"/>
    <w:rsid w:val="002050B2"/>
    <w:rsid w:val="0021043A"/>
    <w:rsid w:val="00212238"/>
    <w:rsid w:val="002129C6"/>
    <w:rsid w:val="00222ECE"/>
    <w:rsid w:val="00223672"/>
    <w:rsid w:val="00223A8B"/>
    <w:rsid w:val="0023132F"/>
    <w:rsid w:val="002325BF"/>
    <w:rsid w:val="00233701"/>
    <w:rsid w:val="002374A7"/>
    <w:rsid w:val="002374E7"/>
    <w:rsid w:val="00250451"/>
    <w:rsid w:val="00250FD6"/>
    <w:rsid w:val="00254D29"/>
    <w:rsid w:val="0025512B"/>
    <w:rsid w:val="00257035"/>
    <w:rsid w:val="00261E97"/>
    <w:rsid w:val="002628B6"/>
    <w:rsid w:val="002665CF"/>
    <w:rsid w:val="00266C63"/>
    <w:rsid w:val="0026756C"/>
    <w:rsid w:val="002829CE"/>
    <w:rsid w:val="002854B7"/>
    <w:rsid w:val="00285D86"/>
    <w:rsid w:val="0029108F"/>
    <w:rsid w:val="0029363D"/>
    <w:rsid w:val="0029376D"/>
    <w:rsid w:val="002A36A9"/>
    <w:rsid w:val="002A3FC0"/>
    <w:rsid w:val="002B4CFA"/>
    <w:rsid w:val="002B51FF"/>
    <w:rsid w:val="002B575C"/>
    <w:rsid w:val="002B7BAE"/>
    <w:rsid w:val="002C4BB4"/>
    <w:rsid w:val="002C50BA"/>
    <w:rsid w:val="002C5850"/>
    <w:rsid w:val="002D12C8"/>
    <w:rsid w:val="002D393D"/>
    <w:rsid w:val="002E1CFD"/>
    <w:rsid w:val="002E4625"/>
    <w:rsid w:val="002F6F7C"/>
    <w:rsid w:val="002F7C84"/>
    <w:rsid w:val="00300A61"/>
    <w:rsid w:val="00300D3C"/>
    <w:rsid w:val="00302A1F"/>
    <w:rsid w:val="00306466"/>
    <w:rsid w:val="00311614"/>
    <w:rsid w:val="00316FD7"/>
    <w:rsid w:val="003176EE"/>
    <w:rsid w:val="00326848"/>
    <w:rsid w:val="0032713E"/>
    <w:rsid w:val="00327CBF"/>
    <w:rsid w:val="00332CBF"/>
    <w:rsid w:val="003423F6"/>
    <w:rsid w:val="00342418"/>
    <w:rsid w:val="00351344"/>
    <w:rsid w:val="0035258B"/>
    <w:rsid w:val="0035578E"/>
    <w:rsid w:val="003565DB"/>
    <w:rsid w:val="0036071D"/>
    <w:rsid w:val="00360FC8"/>
    <w:rsid w:val="00361AB1"/>
    <w:rsid w:val="003627E6"/>
    <w:rsid w:val="00366506"/>
    <w:rsid w:val="00367CD5"/>
    <w:rsid w:val="003702D6"/>
    <w:rsid w:val="00377591"/>
    <w:rsid w:val="003851C1"/>
    <w:rsid w:val="00385493"/>
    <w:rsid w:val="0038653F"/>
    <w:rsid w:val="003905EA"/>
    <w:rsid w:val="00391D0C"/>
    <w:rsid w:val="003B1542"/>
    <w:rsid w:val="003B4BD8"/>
    <w:rsid w:val="003B5067"/>
    <w:rsid w:val="003B5F11"/>
    <w:rsid w:val="003B6C16"/>
    <w:rsid w:val="003C4889"/>
    <w:rsid w:val="003D00FC"/>
    <w:rsid w:val="003D0B33"/>
    <w:rsid w:val="003D0D6E"/>
    <w:rsid w:val="003D47D0"/>
    <w:rsid w:val="003D5D72"/>
    <w:rsid w:val="003D6F70"/>
    <w:rsid w:val="003E2A14"/>
    <w:rsid w:val="003E616F"/>
    <w:rsid w:val="003E650A"/>
    <w:rsid w:val="003E7357"/>
    <w:rsid w:val="003F1DDF"/>
    <w:rsid w:val="003F69A3"/>
    <w:rsid w:val="00405255"/>
    <w:rsid w:val="00405C24"/>
    <w:rsid w:val="00411ACF"/>
    <w:rsid w:val="00413E4A"/>
    <w:rsid w:val="0041648B"/>
    <w:rsid w:val="00417C6C"/>
    <w:rsid w:val="004223E5"/>
    <w:rsid w:val="004248E2"/>
    <w:rsid w:val="00426391"/>
    <w:rsid w:val="004266CE"/>
    <w:rsid w:val="00427BEB"/>
    <w:rsid w:val="00430E05"/>
    <w:rsid w:val="00436FA4"/>
    <w:rsid w:val="00442471"/>
    <w:rsid w:val="00442CE6"/>
    <w:rsid w:val="004456CD"/>
    <w:rsid w:val="00445752"/>
    <w:rsid w:val="00446FE9"/>
    <w:rsid w:val="004504DD"/>
    <w:rsid w:val="00450E71"/>
    <w:rsid w:val="004518EB"/>
    <w:rsid w:val="00454E73"/>
    <w:rsid w:val="00456413"/>
    <w:rsid w:val="00463136"/>
    <w:rsid w:val="00470FDF"/>
    <w:rsid w:val="00471633"/>
    <w:rsid w:val="00472B6B"/>
    <w:rsid w:val="00475C6F"/>
    <w:rsid w:val="0047707C"/>
    <w:rsid w:val="00483126"/>
    <w:rsid w:val="00483706"/>
    <w:rsid w:val="0048442D"/>
    <w:rsid w:val="004850FE"/>
    <w:rsid w:val="00491C06"/>
    <w:rsid w:val="00494115"/>
    <w:rsid w:val="0049736D"/>
    <w:rsid w:val="004A20C5"/>
    <w:rsid w:val="004A4DC3"/>
    <w:rsid w:val="004A718F"/>
    <w:rsid w:val="004B1A18"/>
    <w:rsid w:val="004B4AE3"/>
    <w:rsid w:val="004C2D32"/>
    <w:rsid w:val="004C4A52"/>
    <w:rsid w:val="004C560D"/>
    <w:rsid w:val="004E323B"/>
    <w:rsid w:val="004E7498"/>
    <w:rsid w:val="004F27EA"/>
    <w:rsid w:val="0050154C"/>
    <w:rsid w:val="00503A80"/>
    <w:rsid w:val="00510BD9"/>
    <w:rsid w:val="005161A4"/>
    <w:rsid w:val="00525579"/>
    <w:rsid w:val="005279AF"/>
    <w:rsid w:val="005329C1"/>
    <w:rsid w:val="00534CE8"/>
    <w:rsid w:val="00534D73"/>
    <w:rsid w:val="00535E54"/>
    <w:rsid w:val="005372C7"/>
    <w:rsid w:val="00537BC6"/>
    <w:rsid w:val="00541147"/>
    <w:rsid w:val="005448F9"/>
    <w:rsid w:val="00547C2A"/>
    <w:rsid w:val="005515C1"/>
    <w:rsid w:val="00556A36"/>
    <w:rsid w:val="00560E1B"/>
    <w:rsid w:val="0056122B"/>
    <w:rsid w:val="005635E0"/>
    <w:rsid w:val="00572A3A"/>
    <w:rsid w:val="0057374F"/>
    <w:rsid w:val="00583523"/>
    <w:rsid w:val="00583AC8"/>
    <w:rsid w:val="00584FDB"/>
    <w:rsid w:val="00587328"/>
    <w:rsid w:val="00587D6D"/>
    <w:rsid w:val="005951D3"/>
    <w:rsid w:val="00596952"/>
    <w:rsid w:val="005A46A7"/>
    <w:rsid w:val="005A78C5"/>
    <w:rsid w:val="005C3831"/>
    <w:rsid w:val="005C5485"/>
    <w:rsid w:val="005E4E4A"/>
    <w:rsid w:val="005E5085"/>
    <w:rsid w:val="005E6F58"/>
    <w:rsid w:val="005F0AA2"/>
    <w:rsid w:val="005F103F"/>
    <w:rsid w:val="006013E2"/>
    <w:rsid w:val="0060263C"/>
    <w:rsid w:val="00611B46"/>
    <w:rsid w:val="00616D09"/>
    <w:rsid w:val="006176C0"/>
    <w:rsid w:val="0062425B"/>
    <w:rsid w:val="00625E7D"/>
    <w:rsid w:val="00631A17"/>
    <w:rsid w:val="006351BA"/>
    <w:rsid w:val="006416C0"/>
    <w:rsid w:val="00642478"/>
    <w:rsid w:val="00642BD3"/>
    <w:rsid w:val="006465AD"/>
    <w:rsid w:val="00647F69"/>
    <w:rsid w:val="00655461"/>
    <w:rsid w:val="00661500"/>
    <w:rsid w:val="0066171B"/>
    <w:rsid w:val="00661754"/>
    <w:rsid w:val="006618D3"/>
    <w:rsid w:val="006802D8"/>
    <w:rsid w:val="006859A3"/>
    <w:rsid w:val="006A0174"/>
    <w:rsid w:val="006A32DD"/>
    <w:rsid w:val="006B18BC"/>
    <w:rsid w:val="006B7DF4"/>
    <w:rsid w:val="006C5EEF"/>
    <w:rsid w:val="006C60AE"/>
    <w:rsid w:val="006C6FE3"/>
    <w:rsid w:val="006D08D1"/>
    <w:rsid w:val="006D72DB"/>
    <w:rsid w:val="006E5A5E"/>
    <w:rsid w:val="006E7DA2"/>
    <w:rsid w:val="006F660C"/>
    <w:rsid w:val="00710462"/>
    <w:rsid w:val="00725373"/>
    <w:rsid w:val="00734F2A"/>
    <w:rsid w:val="00737609"/>
    <w:rsid w:val="007419AE"/>
    <w:rsid w:val="0074227A"/>
    <w:rsid w:val="00743119"/>
    <w:rsid w:val="00745232"/>
    <w:rsid w:val="00750F7E"/>
    <w:rsid w:val="00751A02"/>
    <w:rsid w:val="00761847"/>
    <w:rsid w:val="00765467"/>
    <w:rsid w:val="00767F47"/>
    <w:rsid w:val="00770ACD"/>
    <w:rsid w:val="00772F49"/>
    <w:rsid w:val="0078057E"/>
    <w:rsid w:val="00780F76"/>
    <w:rsid w:val="007838C8"/>
    <w:rsid w:val="00791CE9"/>
    <w:rsid w:val="00795E33"/>
    <w:rsid w:val="007A3739"/>
    <w:rsid w:val="007A4CA3"/>
    <w:rsid w:val="007A6722"/>
    <w:rsid w:val="007A6B63"/>
    <w:rsid w:val="007B3B40"/>
    <w:rsid w:val="007B4061"/>
    <w:rsid w:val="007C1221"/>
    <w:rsid w:val="007C1FCE"/>
    <w:rsid w:val="007C46E0"/>
    <w:rsid w:val="007D0186"/>
    <w:rsid w:val="007D09CA"/>
    <w:rsid w:val="007D2B66"/>
    <w:rsid w:val="007D5773"/>
    <w:rsid w:val="007D5F24"/>
    <w:rsid w:val="007D605F"/>
    <w:rsid w:val="007D726A"/>
    <w:rsid w:val="007E3A27"/>
    <w:rsid w:val="007E550F"/>
    <w:rsid w:val="007E7AB1"/>
    <w:rsid w:val="007F21B4"/>
    <w:rsid w:val="007F556B"/>
    <w:rsid w:val="00800F0F"/>
    <w:rsid w:val="00800F44"/>
    <w:rsid w:val="0080342D"/>
    <w:rsid w:val="00811356"/>
    <w:rsid w:val="008117AC"/>
    <w:rsid w:val="008122B9"/>
    <w:rsid w:val="008129F4"/>
    <w:rsid w:val="00814AB5"/>
    <w:rsid w:val="00817531"/>
    <w:rsid w:val="00821072"/>
    <w:rsid w:val="00827034"/>
    <w:rsid w:val="00835A3B"/>
    <w:rsid w:val="00836772"/>
    <w:rsid w:val="008373EC"/>
    <w:rsid w:val="00842ACA"/>
    <w:rsid w:val="0084453A"/>
    <w:rsid w:val="008467B5"/>
    <w:rsid w:val="00852695"/>
    <w:rsid w:val="00857BE7"/>
    <w:rsid w:val="00860B45"/>
    <w:rsid w:val="008663E9"/>
    <w:rsid w:val="008819A6"/>
    <w:rsid w:val="00885233"/>
    <w:rsid w:val="00894C73"/>
    <w:rsid w:val="00895CAA"/>
    <w:rsid w:val="008A4BA0"/>
    <w:rsid w:val="008A601B"/>
    <w:rsid w:val="008B3C2C"/>
    <w:rsid w:val="008B4D0A"/>
    <w:rsid w:val="008B51F2"/>
    <w:rsid w:val="008B5784"/>
    <w:rsid w:val="008B5E32"/>
    <w:rsid w:val="008D1F69"/>
    <w:rsid w:val="008D7686"/>
    <w:rsid w:val="008E146E"/>
    <w:rsid w:val="008E4915"/>
    <w:rsid w:val="008E4B2E"/>
    <w:rsid w:val="008E609A"/>
    <w:rsid w:val="008E6357"/>
    <w:rsid w:val="008E675F"/>
    <w:rsid w:val="008F5FEF"/>
    <w:rsid w:val="008F6FA2"/>
    <w:rsid w:val="008F7F38"/>
    <w:rsid w:val="009072E7"/>
    <w:rsid w:val="00925791"/>
    <w:rsid w:val="00926973"/>
    <w:rsid w:val="00926B01"/>
    <w:rsid w:val="00930D74"/>
    <w:rsid w:val="00931D40"/>
    <w:rsid w:val="00940A5F"/>
    <w:rsid w:val="00941F17"/>
    <w:rsid w:val="00953A36"/>
    <w:rsid w:val="00954F97"/>
    <w:rsid w:val="0095522A"/>
    <w:rsid w:val="00955F63"/>
    <w:rsid w:val="00960949"/>
    <w:rsid w:val="009630DB"/>
    <w:rsid w:val="00974BEB"/>
    <w:rsid w:val="00980139"/>
    <w:rsid w:val="00981C72"/>
    <w:rsid w:val="00983004"/>
    <w:rsid w:val="0098306B"/>
    <w:rsid w:val="00985C56"/>
    <w:rsid w:val="009942CF"/>
    <w:rsid w:val="0099601F"/>
    <w:rsid w:val="009A4031"/>
    <w:rsid w:val="009A456C"/>
    <w:rsid w:val="009A4CE5"/>
    <w:rsid w:val="009A5731"/>
    <w:rsid w:val="009A764A"/>
    <w:rsid w:val="009A7B88"/>
    <w:rsid w:val="009B78C6"/>
    <w:rsid w:val="009C07B4"/>
    <w:rsid w:val="009C0EE0"/>
    <w:rsid w:val="009C0F11"/>
    <w:rsid w:val="009C7088"/>
    <w:rsid w:val="009D02C4"/>
    <w:rsid w:val="009D6671"/>
    <w:rsid w:val="009D6C51"/>
    <w:rsid w:val="009D7179"/>
    <w:rsid w:val="009E122E"/>
    <w:rsid w:val="009F2CCD"/>
    <w:rsid w:val="009F4897"/>
    <w:rsid w:val="009F6848"/>
    <w:rsid w:val="00A0112D"/>
    <w:rsid w:val="00A0161B"/>
    <w:rsid w:val="00A01F47"/>
    <w:rsid w:val="00A04B4D"/>
    <w:rsid w:val="00A1242A"/>
    <w:rsid w:val="00A153F5"/>
    <w:rsid w:val="00A15656"/>
    <w:rsid w:val="00A17056"/>
    <w:rsid w:val="00A24C57"/>
    <w:rsid w:val="00A36CCD"/>
    <w:rsid w:val="00A46AFD"/>
    <w:rsid w:val="00A473AC"/>
    <w:rsid w:val="00A4762A"/>
    <w:rsid w:val="00A51F55"/>
    <w:rsid w:val="00A52EDC"/>
    <w:rsid w:val="00A65680"/>
    <w:rsid w:val="00A70F06"/>
    <w:rsid w:val="00A861E2"/>
    <w:rsid w:val="00A91754"/>
    <w:rsid w:val="00A92994"/>
    <w:rsid w:val="00A9334D"/>
    <w:rsid w:val="00A9416A"/>
    <w:rsid w:val="00A94192"/>
    <w:rsid w:val="00AA167A"/>
    <w:rsid w:val="00AA3508"/>
    <w:rsid w:val="00AB5EC5"/>
    <w:rsid w:val="00AC35A6"/>
    <w:rsid w:val="00AD0C9D"/>
    <w:rsid w:val="00AD6A80"/>
    <w:rsid w:val="00AE3614"/>
    <w:rsid w:val="00AE76E7"/>
    <w:rsid w:val="00AF1C3E"/>
    <w:rsid w:val="00AF2CA2"/>
    <w:rsid w:val="00AF674B"/>
    <w:rsid w:val="00AF6D5C"/>
    <w:rsid w:val="00B009C8"/>
    <w:rsid w:val="00B01BBF"/>
    <w:rsid w:val="00B0202F"/>
    <w:rsid w:val="00B11896"/>
    <w:rsid w:val="00B132DB"/>
    <w:rsid w:val="00B1550E"/>
    <w:rsid w:val="00B23DF3"/>
    <w:rsid w:val="00B35A5C"/>
    <w:rsid w:val="00B36F16"/>
    <w:rsid w:val="00B46A75"/>
    <w:rsid w:val="00B4702C"/>
    <w:rsid w:val="00B51902"/>
    <w:rsid w:val="00B67DDF"/>
    <w:rsid w:val="00B76A97"/>
    <w:rsid w:val="00B91262"/>
    <w:rsid w:val="00B95588"/>
    <w:rsid w:val="00B977FD"/>
    <w:rsid w:val="00BB227D"/>
    <w:rsid w:val="00BB27B7"/>
    <w:rsid w:val="00BC445C"/>
    <w:rsid w:val="00BD28E3"/>
    <w:rsid w:val="00BD4131"/>
    <w:rsid w:val="00BD5821"/>
    <w:rsid w:val="00BD677C"/>
    <w:rsid w:val="00BE0168"/>
    <w:rsid w:val="00BE0787"/>
    <w:rsid w:val="00BE2E36"/>
    <w:rsid w:val="00BE3801"/>
    <w:rsid w:val="00BF555E"/>
    <w:rsid w:val="00C00AD3"/>
    <w:rsid w:val="00C04E87"/>
    <w:rsid w:val="00C07FE1"/>
    <w:rsid w:val="00C14361"/>
    <w:rsid w:val="00C20AC0"/>
    <w:rsid w:val="00C249FB"/>
    <w:rsid w:val="00C31C44"/>
    <w:rsid w:val="00C37705"/>
    <w:rsid w:val="00C534B6"/>
    <w:rsid w:val="00C5619A"/>
    <w:rsid w:val="00C56CFC"/>
    <w:rsid w:val="00C6753B"/>
    <w:rsid w:val="00C71D8D"/>
    <w:rsid w:val="00C76094"/>
    <w:rsid w:val="00C771B1"/>
    <w:rsid w:val="00C85571"/>
    <w:rsid w:val="00C939E7"/>
    <w:rsid w:val="00C96EC9"/>
    <w:rsid w:val="00C975A4"/>
    <w:rsid w:val="00CA0C57"/>
    <w:rsid w:val="00CA32F8"/>
    <w:rsid w:val="00CB1351"/>
    <w:rsid w:val="00CB33D1"/>
    <w:rsid w:val="00CB5F43"/>
    <w:rsid w:val="00CC2BAD"/>
    <w:rsid w:val="00CC7C2F"/>
    <w:rsid w:val="00CD15B2"/>
    <w:rsid w:val="00CD1709"/>
    <w:rsid w:val="00CD4B6A"/>
    <w:rsid w:val="00CD4DE6"/>
    <w:rsid w:val="00CD556B"/>
    <w:rsid w:val="00CD5759"/>
    <w:rsid w:val="00CE586A"/>
    <w:rsid w:val="00CE5FCA"/>
    <w:rsid w:val="00CF07C1"/>
    <w:rsid w:val="00CF173B"/>
    <w:rsid w:val="00CF20A4"/>
    <w:rsid w:val="00CF2545"/>
    <w:rsid w:val="00CF6D2D"/>
    <w:rsid w:val="00D0155C"/>
    <w:rsid w:val="00D017DA"/>
    <w:rsid w:val="00D03564"/>
    <w:rsid w:val="00D040BE"/>
    <w:rsid w:val="00D06C09"/>
    <w:rsid w:val="00D124E6"/>
    <w:rsid w:val="00D203FB"/>
    <w:rsid w:val="00D22036"/>
    <w:rsid w:val="00D2228D"/>
    <w:rsid w:val="00D233D7"/>
    <w:rsid w:val="00D26EF4"/>
    <w:rsid w:val="00D2768A"/>
    <w:rsid w:val="00D34701"/>
    <w:rsid w:val="00D35B2B"/>
    <w:rsid w:val="00D41A22"/>
    <w:rsid w:val="00D44200"/>
    <w:rsid w:val="00D443A8"/>
    <w:rsid w:val="00D45DCA"/>
    <w:rsid w:val="00D50D79"/>
    <w:rsid w:val="00D527F2"/>
    <w:rsid w:val="00D56994"/>
    <w:rsid w:val="00D63290"/>
    <w:rsid w:val="00D64D82"/>
    <w:rsid w:val="00D71268"/>
    <w:rsid w:val="00D73811"/>
    <w:rsid w:val="00D7442A"/>
    <w:rsid w:val="00D81343"/>
    <w:rsid w:val="00D817F1"/>
    <w:rsid w:val="00D817F5"/>
    <w:rsid w:val="00D8408F"/>
    <w:rsid w:val="00D84297"/>
    <w:rsid w:val="00DA4E88"/>
    <w:rsid w:val="00DA5A4C"/>
    <w:rsid w:val="00DB01A7"/>
    <w:rsid w:val="00DB20EB"/>
    <w:rsid w:val="00DB494D"/>
    <w:rsid w:val="00DB526A"/>
    <w:rsid w:val="00DB70DF"/>
    <w:rsid w:val="00DB72FD"/>
    <w:rsid w:val="00DC3202"/>
    <w:rsid w:val="00DC71CE"/>
    <w:rsid w:val="00DD3596"/>
    <w:rsid w:val="00DD5B60"/>
    <w:rsid w:val="00DD6F63"/>
    <w:rsid w:val="00DF164F"/>
    <w:rsid w:val="00DF2709"/>
    <w:rsid w:val="00DF3718"/>
    <w:rsid w:val="00DF5F90"/>
    <w:rsid w:val="00E027F6"/>
    <w:rsid w:val="00E06949"/>
    <w:rsid w:val="00E1726E"/>
    <w:rsid w:val="00E178C5"/>
    <w:rsid w:val="00E258BB"/>
    <w:rsid w:val="00E263EC"/>
    <w:rsid w:val="00E264FE"/>
    <w:rsid w:val="00E36509"/>
    <w:rsid w:val="00E37835"/>
    <w:rsid w:val="00E54D3D"/>
    <w:rsid w:val="00E57596"/>
    <w:rsid w:val="00E6114A"/>
    <w:rsid w:val="00E66E7C"/>
    <w:rsid w:val="00E67A9E"/>
    <w:rsid w:val="00E7040B"/>
    <w:rsid w:val="00E715EB"/>
    <w:rsid w:val="00E72102"/>
    <w:rsid w:val="00E73AD4"/>
    <w:rsid w:val="00E7439E"/>
    <w:rsid w:val="00E7732B"/>
    <w:rsid w:val="00E77DAA"/>
    <w:rsid w:val="00E80662"/>
    <w:rsid w:val="00E83B56"/>
    <w:rsid w:val="00E8449E"/>
    <w:rsid w:val="00E848D2"/>
    <w:rsid w:val="00E85E76"/>
    <w:rsid w:val="00E92818"/>
    <w:rsid w:val="00E932E6"/>
    <w:rsid w:val="00E95D3A"/>
    <w:rsid w:val="00E95DCD"/>
    <w:rsid w:val="00EA7E6D"/>
    <w:rsid w:val="00EB1F95"/>
    <w:rsid w:val="00EB2CCB"/>
    <w:rsid w:val="00EB3D20"/>
    <w:rsid w:val="00EB503D"/>
    <w:rsid w:val="00EB56CB"/>
    <w:rsid w:val="00EC04AE"/>
    <w:rsid w:val="00EC2EB4"/>
    <w:rsid w:val="00ED07DA"/>
    <w:rsid w:val="00ED3D89"/>
    <w:rsid w:val="00ED4CD7"/>
    <w:rsid w:val="00ED73C1"/>
    <w:rsid w:val="00EF3943"/>
    <w:rsid w:val="00EF4A93"/>
    <w:rsid w:val="00EF6734"/>
    <w:rsid w:val="00F02CC8"/>
    <w:rsid w:val="00F07847"/>
    <w:rsid w:val="00F10B83"/>
    <w:rsid w:val="00F10EDD"/>
    <w:rsid w:val="00F13698"/>
    <w:rsid w:val="00F15AAF"/>
    <w:rsid w:val="00F22B85"/>
    <w:rsid w:val="00F2374F"/>
    <w:rsid w:val="00F31115"/>
    <w:rsid w:val="00F34FD0"/>
    <w:rsid w:val="00F36914"/>
    <w:rsid w:val="00F411FF"/>
    <w:rsid w:val="00F42351"/>
    <w:rsid w:val="00F43588"/>
    <w:rsid w:val="00F444E7"/>
    <w:rsid w:val="00F46C23"/>
    <w:rsid w:val="00F57F4E"/>
    <w:rsid w:val="00F615CC"/>
    <w:rsid w:val="00F61DDC"/>
    <w:rsid w:val="00F638FF"/>
    <w:rsid w:val="00F67A16"/>
    <w:rsid w:val="00F701D4"/>
    <w:rsid w:val="00F710B3"/>
    <w:rsid w:val="00F71C61"/>
    <w:rsid w:val="00F875C4"/>
    <w:rsid w:val="00F90FD1"/>
    <w:rsid w:val="00F97BFB"/>
    <w:rsid w:val="00FA0A20"/>
    <w:rsid w:val="00FC4718"/>
    <w:rsid w:val="00FC49D8"/>
    <w:rsid w:val="00FC73F1"/>
    <w:rsid w:val="00FD17AC"/>
    <w:rsid w:val="00FD2590"/>
    <w:rsid w:val="00FE0432"/>
    <w:rsid w:val="00FE2E1F"/>
    <w:rsid w:val="00FF09DE"/>
    <w:rsid w:val="00FF0C96"/>
    <w:rsid w:val="00FF35BB"/>
    <w:rsid w:val="00FF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7DF61"/>
  <w15:chartTrackingRefBased/>
  <w15:docId w15:val="{D5AF0D2D-FF8C-4740-8F8F-AD7F326E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6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848"/>
    <w:rPr>
      <w:rFonts w:eastAsiaTheme="majorEastAsia" w:cstheme="majorBidi"/>
      <w:color w:val="272727" w:themeColor="text1" w:themeTint="D8"/>
    </w:rPr>
  </w:style>
  <w:style w:type="paragraph" w:styleId="Title">
    <w:name w:val="Title"/>
    <w:basedOn w:val="Normal"/>
    <w:next w:val="Normal"/>
    <w:link w:val="TitleChar"/>
    <w:uiPriority w:val="10"/>
    <w:qFormat/>
    <w:rsid w:val="00326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848"/>
    <w:pPr>
      <w:spacing w:before="160"/>
      <w:jc w:val="center"/>
    </w:pPr>
    <w:rPr>
      <w:i/>
      <w:iCs/>
      <w:color w:val="404040" w:themeColor="text1" w:themeTint="BF"/>
    </w:rPr>
  </w:style>
  <w:style w:type="character" w:customStyle="1" w:styleId="QuoteChar">
    <w:name w:val="Quote Char"/>
    <w:basedOn w:val="DefaultParagraphFont"/>
    <w:link w:val="Quote"/>
    <w:uiPriority w:val="29"/>
    <w:rsid w:val="00326848"/>
    <w:rPr>
      <w:i/>
      <w:iCs/>
      <w:color w:val="404040" w:themeColor="text1" w:themeTint="BF"/>
    </w:rPr>
  </w:style>
  <w:style w:type="paragraph" w:styleId="ListParagraph">
    <w:name w:val="List Paragraph"/>
    <w:basedOn w:val="Normal"/>
    <w:uiPriority w:val="34"/>
    <w:qFormat/>
    <w:rsid w:val="00326848"/>
    <w:pPr>
      <w:ind w:left="720"/>
      <w:contextualSpacing/>
    </w:pPr>
  </w:style>
  <w:style w:type="character" w:styleId="IntenseEmphasis">
    <w:name w:val="Intense Emphasis"/>
    <w:basedOn w:val="DefaultParagraphFont"/>
    <w:uiPriority w:val="21"/>
    <w:qFormat/>
    <w:rsid w:val="00326848"/>
    <w:rPr>
      <w:i/>
      <w:iCs/>
      <w:color w:val="0F4761" w:themeColor="accent1" w:themeShade="BF"/>
    </w:rPr>
  </w:style>
  <w:style w:type="paragraph" w:styleId="IntenseQuote">
    <w:name w:val="Intense Quote"/>
    <w:basedOn w:val="Normal"/>
    <w:next w:val="Normal"/>
    <w:link w:val="IntenseQuoteChar"/>
    <w:uiPriority w:val="30"/>
    <w:qFormat/>
    <w:rsid w:val="00326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848"/>
    <w:rPr>
      <w:i/>
      <w:iCs/>
      <w:color w:val="0F4761" w:themeColor="accent1" w:themeShade="BF"/>
    </w:rPr>
  </w:style>
  <w:style w:type="character" w:styleId="IntenseReference">
    <w:name w:val="Intense Reference"/>
    <w:basedOn w:val="DefaultParagraphFont"/>
    <w:uiPriority w:val="32"/>
    <w:qFormat/>
    <w:rsid w:val="00326848"/>
    <w:rPr>
      <w:b/>
      <w:bCs/>
      <w:smallCaps/>
      <w:color w:val="0F4761" w:themeColor="accent1" w:themeShade="BF"/>
      <w:spacing w:val="5"/>
    </w:rPr>
  </w:style>
  <w:style w:type="paragraph" w:styleId="Header">
    <w:name w:val="header"/>
    <w:basedOn w:val="Normal"/>
    <w:link w:val="HeaderChar"/>
    <w:uiPriority w:val="99"/>
    <w:unhideWhenUsed/>
    <w:rsid w:val="00326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848"/>
  </w:style>
  <w:style w:type="paragraph" w:styleId="Footer">
    <w:name w:val="footer"/>
    <w:basedOn w:val="Normal"/>
    <w:link w:val="FooterChar"/>
    <w:uiPriority w:val="99"/>
    <w:unhideWhenUsed/>
    <w:rsid w:val="00326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848"/>
  </w:style>
  <w:style w:type="paragraph" w:styleId="TOCHeading">
    <w:name w:val="TOC Heading"/>
    <w:basedOn w:val="Heading1"/>
    <w:next w:val="Normal"/>
    <w:uiPriority w:val="39"/>
    <w:unhideWhenUsed/>
    <w:qFormat/>
    <w:rsid w:val="005C3831"/>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AD6A80"/>
    <w:pPr>
      <w:spacing w:after="100"/>
      <w:ind w:left="240"/>
    </w:pPr>
  </w:style>
  <w:style w:type="character" w:styleId="Hyperlink">
    <w:name w:val="Hyperlink"/>
    <w:basedOn w:val="DefaultParagraphFont"/>
    <w:uiPriority w:val="99"/>
    <w:unhideWhenUsed/>
    <w:rsid w:val="00AD6A80"/>
    <w:rPr>
      <w:color w:val="467886" w:themeColor="hyperlink"/>
      <w:u w:val="single"/>
    </w:rPr>
  </w:style>
  <w:style w:type="paragraph" w:styleId="TOC1">
    <w:name w:val="toc 1"/>
    <w:basedOn w:val="Normal"/>
    <w:next w:val="Normal"/>
    <w:autoRedefine/>
    <w:uiPriority w:val="39"/>
    <w:unhideWhenUsed/>
    <w:rsid w:val="00B35A5C"/>
    <w:pPr>
      <w:spacing w:after="100"/>
    </w:pPr>
  </w:style>
  <w:style w:type="paragraph" w:styleId="Caption">
    <w:name w:val="caption"/>
    <w:basedOn w:val="Normal"/>
    <w:next w:val="Normal"/>
    <w:uiPriority w:val="35"/>
    <w:unhideWhenUsed/>
    <w:qFormat/>
    <w:rsid w:val="002039BB"/>
    <w:pPr>
      <w:spacing w:after="200" w:line="240" w:lineRule="auto"/>
    </w:pPr>
    <w:rPr>
      <w:i/>
      <w:iCs/>
      <w:color w:val="0E2841" w:themeColor="text2"/>
      <w:sz w:val="18"/>
      <w:szCs w:val="18"/>
    </w:rPr>
  </w:style>
  <w:style w:type="table" w:styleId="TableGrid">
    <w:name w:val="Table Grid"/>
    <w:basedOn w:val="TableNormal"/>
    <w:uiPriority w:val="39"/>
    <w:rsid w:val="0058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09167">
      <w:bodyDiv w:val="1"/>
      <w:marLeft w:val="0"/>
      <w:marRight w:val="0"/>
      <w:marTop w:val="0"/>
      <w:marBottom w:val="0"/>
      <w:divBdr>
        <w:top w:val="none" w:sz="0" w:space="0" w:color="auto"/>
        <w:left w:val="none" w:sz="0" w:space="0" w:color="auto"/>
        <w:bottom w:val="none" w:sz="0" w:space="0" w:color="auto"/>
        <w:right w:val="none" w:sz="0" w:space="0" w:color="auto"/>
      </w:divBdr>
    </w:div>
    <w:div w:id="278488748">
      <w:bodyDiv w:val="1"/>
      <w:marLeft w:val="0"/>
      <w:marRight w:val="0"/>
      <w:marTop w:val="0"/>
      <w:marBottom w:val="0"/>
      <w:divBdr>
        <w:top w:val="none" w:sz="0" w:space="0" w:color="auto"/>
        <w:left w:val="none" w:sz="0" w:space="0" w:color="auto"/>
        <w:bottom w:val="none" w:sz="0" w:space="0" w:color="auto"/>
        <w:right w:val="none" w:sz="0" w:space="0" w:color="auto"/>
      </w:divBdr>
    </w:div>
    <w:div w:id="309403706">
      <w:bodyDiv w:val="1"/>
      <w:marLeft w:val="0"/>
      <w:marRight w:val="0"/>
      <w:marTop w:val="0"/>
      <w:marBottom w:val="0"/>
      <w:divBdr>
        <w:top w:val="none" w:sz="0" w:space="0" w:color="auto"/>
        <w:left w:val="none" w:sz="0" w:space="0" w:color="auto"/>
        <w:bottom w:val="none" w:sz="0" w:space="0" w:color="auto"/>
        <w:right w:val="none" w:sz="0" w:space="0" w:color="auto"/>
      </w:divBdr>
    </w:div>
    <w:div w:id="669256706">
      <w:bodyDiv w:val="1"/>
      <w:marLeft w:val="0"/>
      <w:marRight w:val="0"/>
      <w:marTop w:val="0"/>
      <w:marBottom w:val="0"/>
      <w:divBdr>
        <w:top w:val="none" w:sz="0" w:space="0" w:color="auto"/>
        <w:left w:val="none" w:sz="0" w:space="0" w:color="auto"/>
        <w:bottom w:val="none" w:sz="0" w:space="0" w:color="auto"/>
        <w:right w:val="none" w:sz="0" w:space="0" w:color="auto"/>
      </w:divBdr>
    </w:div>
    <w:div w:id="704603928">
      <w:bodyDiv w:val="1"/>
      <w:marLeft w:val="0"/>
      <w:marRight w:val="0"/>
      <w:marTop w:val="0"/>
      <w:marBottom w:val="0"/>
      <w:divBdr>
        <w:top w:val="none" w:sz="0" w:space="0" w:color="auto"/>
        <w:left w:val="none" w:sz="0" w:space="0" w:color="auto"/>
        <w:bottom w:val="none" w:sz="0" w:space="0" w:color="auto"/>
        <w:right w:val="none" w:sz="0" w:space="0" w:color="auto"/>
      </w:divBdr>
    </w:div>
    <w:div w:id="721292681">
      <w:bodyDiv w:val="1"/>
      <w:marLeft w:val="0"/>
      <w:marRight w:val="0"/>
      <w:marTop w:val="0"/>
      <w:marBottom w:val="0"/>
      <w:divBdr>
        <w:top w:val="none" w:sz="0" w:space="0" w:color="auto"/>
        <w:left w:val="none" w:sz="0" w:space="0" w:color="auto"/>
        <w:bottom w:val="none" w:sz="0" w:space="0" w:color="auto"/>
        <w:right w:val="none" w:sz="0" w:space="0" w:color="auto"/>
      </w:divBdr>
      <w:divsChild>
        <w:div w:id="1057585325">
          <w:marLeft w:val="0"/>
          <w:marRight w:val="0"/>
          <w:marTop w:val="0"/>
          <w:marBottom w:val="0"/>
          <w:divBdr>
            <w:top w:val="none" w:sz="0" w:space="0" w:color="auto"/>
            <w:left w:val="none" w:sz="0" w:space="0" w:color="auto"/>
            <w:bottom w:val="none" w:sz="0" w:space="0" w:color="auto"/>
            <w:right w:val="none" w:sz="0" w:space="0" w:color="auto"/>
          </w:divBdr>
        </w:div>
      </w:divsChild>
    </w:div>
    <w:div w:id="869300698">
      <w:bodyDiv w:val="1"/>
      <w:marLeft w:val="0"/>
      <w:marRight w:val="0"/>
      <w:marTop w:val="0"/>
      <w:marBottom w:val="0"/>
      <w:divBdr>
        <w:top w:val="none" w:sz="0" w:space="0" w:color="auto"/>
        <w:left w:val="none" w:sz="0" w:space="0" w:color="auto"/>
        <w:bottom w:val="none" w:sz="0" w:space="0" w:color="auto"/>
        <w:right w:val="none" w:sz="0" w:space="0" w:color="auto"/>
      </w:divBdr>
    </w:div>
    <w:div w:id="889269003">
      <w:bodyDiv w:val="1"/>
      <w:marLeft w:val="0"/>
      <w:marRight w:val="0"/>
      <w:marTop w:val="0"/>
      <w:marBottom w:val="0"/>
      <w:divBdr>
        <w:top w:val="none" w:sz="0" w:space="0" w:color="auto"/>
        <w:left w:val="none" w:sz="0" w:space="0" w:color="auto"/>
        <w:bottom w:val="none" w:sz="0" w:space="0" w:color="auto"/>
        <w:right w:val="none" w:sz="0" w:space="0" w:color="auto"/>
      </w:divBdr>
    </w:div>
    <w:div w:id="963466826">
      <w:bodyDiv w:val="1"/>
      <w:marLeft w:val="0"/>
      <w:marRight w:val="0"/>
      <w:marTop w:val="0"/>
      <w:marBottom w:val="0"/>
      <w:divBdr>
        <w:top w:val="none" w:sz="0" w:space="0" w:color="auto"/>
        <w:left w:val="none" w:sz="0" w:space="0" w:color="auto"/>
        <w:bottom w:val="none" w:sz="0" w:space="0" w:color="auto"/>
        <w:right w:val="none" w:sz="0" w:space="0" w:color="auto"/>
      </w:divBdr>
    </w:div>
    <w:div w:id="1191068476">
      <w:bodyDiv w:val="1"/>
      <w:marLeft w:val="0"/>
      <w:marRight w:val="0"/>
      <w:marTop w:val="0"/>
      <w:marBottom w:val="0"/>
      <w:divBdr>
        <w:top w:val="none" w:sz="0" w:space="0" w:color="auto"/>
        <w:left w:val="none" w:sz="0" w:space="0" w:color="auto"/>
        <w:bottom w:val="none" w:sz="0" w:space="0" w:color="auto"/>
        <w:right w:val="none" w:sz="0" w:space="0" w:color="auto"/>
      </w:divBdr>
    </w:div>
    <w:div w:id="1209955000">
      <w:bodyDiv w:val="1"/>
      <w:marLeft w:val="0"/>
      <w:marRight w:val="0"/>
      <w:marTop w:val="0"/>
      <w:marBottom w:val="0"/>
      <w:divBdr>
        <w:top w:val="none" w:sz="0" w:space="0" w:color="auto"/>
        <w:left w:val="none" w:sz="0" w:space="0" w:color="auto"/>
        <w:bottom w:val="none" w:sz="0" w:space="0" w:color="auto"/>
        <w:right w:val="none" w:sz="0" w:space="0" w:color="auto"/>
      </w:divBdr>
    </w:div>
    <w:div w:id="1329410036">
      <w:bodyDiv w:val="1"/>
      <w:marLeft w:val="0"/>
      <w:marRight w:val="0"/>
      <w:marTop w:val="0"/>
      <w:marBottom w:val="0"/>
      <w:divBdr>
        <w:top w:val="none" w:sz="0" w:space="0" w:color="auto"/>
        <w:left w:val="none" w:sz="0" w:space="0" w:color="auto"/>
        <w:bottom w:val="none" w:sz="0" w:space="0" w:color="auto"/>
        <w:right w:val="none" w:sz="0" w:space="0" w:color="auto"/>
      </w:divBdr>
    </w:div>
    <w:div w:id="1442871241">
      <w:bodyDiv w:val="1"/>
      <w:marLeft w:val="0"/>
      <w:marRight w:val="0"/>
      <w:marTop w:val="0"/>
      <w:marBottom w:val="0"/>
      <w:divBdr>
        <w:top w:val="none" w:sz="0" w:space="0" w:color="auto"/>
        <w:left w:val="none" w:sz="0" w:space="0" w:color="auto"/>
        <w:bottom w:val="none" w:sz="0" w:space="0" w:color="auto"/>
        <w:right w:val="none" w:sz="0" w:space="0" w:color="auto"/>
      </w:divBdr>
    </w:div>
    <w:div w:id="1455948289">
      <w:bodyDiv w:val="1"/>
      <w:marLeft w:val="0"/>
      <w:marRight w:val="0"/>
      <w:marTop w:val="0"/>
      <w:marBottom w:val="0"/>
      <w:divBdr>
        <w:top w:val="none" w:sz="0" w:space="0" w:color="auto"/>
        <w:left w:val="none" w:sz="0" w:space="0" w:color="auto"/>
        <w:bottom w:val="none" w:sz="0" w:space="0" w:color="auto"/>
        <w:right w:val="none" w:sz="0" w:space="0" w:color="auto"/>
      </w:divBdr>
    </w:div>
    <w:div w:id="1505434855">
      <w:bodyDiv w:val="1"/>
      <w:marLeft w:val="0"/>
      <w:marRight w:val="0"/>
      <w:marTop w:val="0"/>
      <w:marBottom w:val="0"/>
      <w:divBdr>
        <w:top w:val="none" w:sz="0" w:space="0" w:color="auto"/>
        <w:left w:val="none" w:sz="0" w:space="0" w:color="auto"/>
        <w:bottom w:val="none" w:sz="0" w:space="0" w:color="auto"/>
        <w:right w:val="none" w:sz="0" w:space="0" w:color="auto"/>
      </w:divBdr>
      <w:divsChild>
        <w:div w:id="807552307">
          <w:marLeft w:val="0"/>
          <w:marRight w:val="0"/>
          <w:marTop w:val="0"/>
          <w:marBottom w:val="0"/>
          <w:divBdr>
            <w:top w:val="none" w:sz="0" w:space="0" w:color="auto"/>
            <w:left w:val="none" w:sz="0" w:space="0" w:color="auto"/>
            <w:bottom w:val="none" w:sz="0" w:space="0" w:color="auto"/>
            <w:right w:val="none" w:sz="0" w:space="0" w:color="auto"/>
          </w:divBdr>
        </w:div>
      </w:divsChild>
    </w:div>
    <w:div w:id="1510178621">
      <w:bodyDiv w:val="1"/>
      <w:marLeft w:val="0"/>
      <w:marRight w:val="0"/>
      <w:marTop w:val="0"/>
      <w:marBottom w:val="0"/>
      <w:divBdr>
        <w:top w:val="none" w:sz="0" w:space="0" w:color="auto"/>
        <w:left w:val="none" w:sz="0" w:space="0" w:color="auto"/>
        <w:bottom w:val="none" w:sz="0" w:space="0" w:color="auto"/>
        <w:right w:val="none" w:sz="0" w:space="0" w:color="auto"/>
      </w:divBdr>
    </w:div>
    <w:div w:id="1776898975">
      <w:bodyDiv w:val="1"/>
      <w:marLeft w:val="0"/>
      <w:marRight w:val="0"/>
      <w:marTop w:val="0"/>
      <w:marBottom w:val="0"/>
      <w:divBdr>
        <w:top w:val="none" w:sz="0" w:space="0" w:color="auto"/>
        <w:left w:val="none" w:sz="0" w:space="0" w:color="auto"/>
        <w:bottom w:val="none" w:sz="0" w:space="0" w:color="auto"/>
        <w:right w:val="none" w:sz="0" w:space="0" w:color="auto"/>
      </w:divBdr>
    </w:div>
    <w:div w:id="1827354545">
      <w:bodyDiv w:val="1"/>
      <w:marLeft w:val="0"/>
      <w:marRight w:val="0"/>
      <w:marTop w:val="0"/>
      <w:marBottom w:val="0"/>
      <w:divBdr>
        <w:top w:val="none" w:sz="0" w:space="0" w:color="auto"/>
        <w:left w:val="none" w:sz="0" w:space="0" w:color="auto"/>
        <w:bottom w:val="none" w:sz="0" w:space="0" w:color="auto"/>
        <w:right w:val="none" w:sz="0" w:space="0" w:color="auto"/>
      </w:divBdr>
    </w:div>
    <w:div w:id="1864325816">
      <w:bodyDiv w:val="1"/>
      <w:marLeft w:val="0"/>
      <w:marRight w:val="0"/>
      <w:marTop w:val="0"/>
      <w:marBottom w:val="0"/>
      <w:divBdr>
        <w:top w:val="none" w:sz="0" w:space="0" w:color="auto"/>
        <w:left w:val="none" w:sz="0" w:space="0" w:color="auto"/>
        <w:bottom w:val="none" w:sz="0" w:space="0" w:color="auto"/>
        <w:right w:val="none" w:sz="0" w:space="0" w:color="auto"/>
      </w:divBdr>
    </w:div>
    <w:div w:id="1922256265">
      <w:bodyDiv w:val="1"/>
      <w:marLeft w:val="0"/>
      <w:marRight w:val="0"/>
      <w:marTop w:val="0"/>
      <w:marBottom w:val="0"/>
      <w:divBdr>
        <w:top w:val="none" w:sz="0" w:space="0" w:color="auto"/>
        <w:left w:val="none" w:sz="0" w:space="0" w:color="auto"/>
        <w:bottom w:val="none" w:sz="0" w:space="0" w:color="auto"/>
        <w:right w:val="none" w:sz="0" w:space="0" w:color="auto"/>
      </w:divBdr>
    </w:div>
    <w:div w:id="1949701742">
      <w:bodyDiv w:val="1"/>
      <w:marLeft w:val="0"/>
      <w:marRight w:val="0"/>
      <w:marTop w:val="0"/>
      <w:marBottom w:val="0"/>
      <w:divBdr>
        <w:top w:val="none" w:sz="0" w:space="0" w:color="auto"/>
        <w:left w:val="none" w:sz="0" w:space="0" w:color="auto"/>
        <w:bottom w:val="none" w:sz="0" w:space="0" w:color="auto"/>
        <w:right w:val="none" w:sz="0" w:space="0" w:color="auto"/>
      </w:divBdr>
    </w:div>
    <w:div w:id="1952786485">
      <w:bodyDiv w:val="1"/>
      <w:marLeft w:val="0"/>
      <w:marRight w:val="0"/>
      <w:marTop w:val="0"/>
      <w:marBottom w:val="0"/>
      <w:divBdr>
        <w:top w:val="none" w:sz="0" w:space="0" w:color="auto"/>
        <w:left w:val="none" w:sz="0" w:space="0" w:color="auto"/>
        <w:bottom w:val="none" w:sz="0" w:space="0" w:color="auto"/>
        <w:right w:val="none" w:sz="0" w:space="0" w:color="auto"/>
      </w:divBdr>
    </w:div>
    <w:div w:id="2009400018">
      <w:bodyDiv w:val="1"/>
      <w:marLeft w:val="0"/>
      <w:marRight w:val="0"/>
      <w:marTop w:val="0"/>
      <w:marBottom w:val="0"/>
      <w:divBdr>
        <w:top w:val="none" w:sz="0" w:space="0" w:color="auto"/>
        <w:left w:val="none" w:sz="0" w:space="0" w:color="auto"/>
        <w:bottom w:val="none" w:sz="0" w:space="0" w:color="auto"/>
        <w:right w:val="none" w:sz="0" w:space="0" w:color="auto"/>
      </w:divBdr>
    </w:div>
    <w:div w:id="2049141677">
      <w:bodyDiv w:val="1"/>
      <w:marLeft w:val="0"/>
      <w:marRight w:val="0"/>
      <w:marTop w:val="0"/>
      <w:marBottom w:val="0"/>
      <w:divBdr>
        <w:top w:val="none" w:sz="0" w:space="0" w:color="auto"/>
        <w:left w:val="none" w:sz="0" w:space="0" w:color="auto"/>
        <w:bottom w:val="none" w:sz="0" w:space="0" w:color="auto"/>
        <w:right w:val="none" w:sz="0" w:space="0" w:color="auto"/>
      </w:divBdr>
    </w:div>
    <w:div w:id="21437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2949A-2906-442B-9E2C-94FAF540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CMM517 cOURSEWORK – rORY Cameron 2002511</vt:lpstr>
    </vt:vector>
  </TitlesOfParts>
  <Company/>
  <LinksUpToDate>false</LinksUpToDate>
  <CharactersWithSpaces>21907</CharactersWithSpaces>
  <SharedDoc>false</SharedDoc>
  <HLinks>
    <vt:vector size="54" baseType="variant">
      <vt:variant>
        <vt:i4>1835057</vt:i4>
      </vt:variant>
      <vt:variant>
        <vt:i4>50</vt:i4>
      </vt:variant>
      <vt:variant>
        <vt:i4>0</vt:i4>
      </vt:variant>
      <vt:variant>
        <vt:i4>5</vt:i4>
      </vt:variant>
      <vt:variant>
        <vt:lpwstr/>
      </vt:variant>
      <vt:variant>
        <vt:lpwstr>_Toc183656634</vt:lpwstr>
      </vt:variant>
      <vt:variant>
        <vt:i4>1835057</vt:i4>
      </vt:variant>
      <vt:variant>
        <vt:i4>44</vt:i4>
      </vt:variant>
      <vt:variant>
        <vt:i4>0</vt:i4>
      </vt:variant>
      <vt:variant>
        <vt:i4>5</vt:i4>
      </vt:variant>
      <vt:variant>
        <vt:lpwstr/>
      </vt:variant>
      <vt:variant>
        <vt:lpwstr>_Toc183656633</vt:lpwstr>
      </vt:variant>
      <vt:variant>
        <vt:i4>1835057</vt:i4>
      </vt:variant>
      <vt:variant>
        <vt:i4>38</vt:i4>
      </vt:variant>
      <vt:variant>
        <vt:i4>0</vt:i4>
      </vt:variant>
      <vt:variant>
        <vt:i4>5</vt:i4>
      </vt:variant>
      <vt:variant>
        <vt:lpwstr/>
      </vt:variant>
      <vt:variant>
        <vt:lpwstr>_Toc183656632</vt:lpwstr>
      </vt:variant>
      <vt:variant>
        <vt:i4>1835057</vt:i4>
      </vt:variant>
      <vt:variant>
        <vt:i4>32</vt:i4>
      </vt:variant>
      <vt:variant>
        <vt:i4>0</vt:i4>
      </vt:variant>
      <vt:variant>
        <vt:i4>5</vt:i4>
      </vt:variant>
      <vt:variant>
        <vt:lpwstr/>
      </vt:variant>
      <vt:variant>
        <vt:lpwstr>_Toc183656631</vt:lpwstr>
      </vt:variant>
      <vt:variant>
        <vt:i4>1835057</vt:i4>
      </vt:variant>
      <vt:variant>
        <vt:i4>26</vt:i4>
      </vt:variant>
      <vt:variant>
        <vt:i4>0</vt:i4>
      </vt:variant>
      <vt:variant>
        <vt:i4>5</vt:i4>
      </vt:variant>
      <vt:variant>
        <vt:lpwstr/>
      </vt:variant>
      <vt:variant>
        <vt:lpwstr>_Toc183656630</vt:lpwstr>
      </vt:variant>
      <vt:variant>
        <vt:i4>1900593</vt:i4>
      </vt:variant>
      <vt:variant>
        <vt:i4>20</vt:i4>
      </vt:variant>
      <vt:variant>
        <vt:i4>0</vt:i4>
      </vt:variant>
      <vt:variant>
        <vt:i4>5</vt:i4>
      </vt:variant>
      <vt:variant>
        <vt:lpwstr/>
      </vt:variant>
      <vt:variant>
        <vt:lpwstr>_Toc183656629</vt:lpwstr>
      </vt:variant>
      <vt:variant>
        <vt:i4>1900593</vt:i4>
      </vt:variant>
      <vt:variant>
        <vt:i4>14</vt:i4>
      </vt:variant>
      <vt:variant>
        <vt:i4>0</vt:i4>
      </vt:variant>
      <vt:variant>
        <vt:i4>5</vt:i4>
      </vt:variant>
      <vt:variant>
        <vt:lpwstr/>
      </vt:variant>
      <vt:variant>
        <vt:lpwstr>_Toc183656628</vt:lpwstr>
      </vt:variant>
      <vt:variant>
        <vt:i4>1900593</vt:i4>
      </vt:variant>
      <vt:variant>
        <vt:i4>8</vt:i4>
      </vt:variant>
      <vt:variant>
        <vt:i4>0</vt:i4>
      </vt:variant>
      <vt:variant>
        <vt:i4>5</vt:i4>
      </vt:variant>
      <vt:variant>
        <vt:lpwstr/>
      </vt:variant>
      <vt:variant>
        <vt:lpwstr>_Toc183656627</vt:lpwstr>
      </vt:variant>
      <vt:variant>
        <vt:i4>1900593</vt:i4>
      </vt:variant>
      <vt:variant>
        <vt:i4>2</vt:i4>
      </vt:variant>
      <vt:variant>
        <vt:i4>0</vt:i4>
      </vt:variant>
      <vt:variant>
        <vt:i4>5</vt:i4>
      </vt:variant>
      <vt:variant>
        <vt:lpwstr/>
      </vt:variant>
      <vt:variant>
        <vt:lpwstr>_Toc183656626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CMM517 cOURSEWORK – rORY Cameron 2002511</dc:title>
  <dc:subject/>
  <dc:creator>RORY CAMERON (2002511)</dc:creator>
  <cp:keywords/>
  <dc:description/>
  <cp:lastModifiedBy>RORY CAMERON (2002511)</cp:lastModifiedBy>
  <cp:revision>3</cp:revision>
  <cp:lastPrinted>2024-11-28T12:56:00Z</cp:lastPrinted>
  <dcterms:created xsi:type="dcterms:W3CDTF">2024-11-28T12:55:00Z</dcterms:created>
  <dcterms:modified xsi:type="dcterms:W3CDTF">2024-11-28T12:57:00Z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