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92FC1" w14:textId="77777777" w:rsidR="00112B62" w:rsidRDefault="00112B62" w:rsidP="00BA7019">
      <w:bookmarkStart w:id="0" w:name="_GoBack"/>
      <w:bookmarkEnd w:id="0"/>
    </w:p>
    <w:p w14:paraId="78192FC2" w14:textId="77777777" w:rsidR="00797C7B" w:rsidRDefault="009112BB" w:rsidP="00BA7019">
      <w:r w:rsidRPr="009112BB">
        <w:rPr>
          <w:noProof/>
        </w:rPr>
        <w:drawing>
          <wp:anchor distT="0" distB="0" distL="114300" distR="114300" simplePos="0" relativeHeight="251651578" behindDoc="0" locked="0" layoutInCell="1" allowOverlap="1" wp14:anchorId="7819310B" wp14:editId="7819310C">
            <wp:simplePos x="0" y="0"/>
            <wp:positionH relativeFrom="column">
              <wp:posOffset>4344035</wp:posOffset>
            </wp:positionH>
            <wp:positionV relativeFrom="paragraph">
              <wp:posOffset>73660</wp:posOffset>
            </wp:positionV>
            <wp:extent cx="1543050" cy="838200"/>
            <wp:effectExtent l="19050" t="0" r="0" b="0"/>
            <wp:wrapNone/>
            <wp:docPr id="5" name="LogoOfgem" descr="LogoOf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GEM TRIAL.png"/>
                    <pic:cNvPicPr/>
                  </pic:nvPicPr>
                  <pic:blipFill>
                    <a:blip r:embed="rId12" cstate="print"/>
                    <a:stretch>
                      <a:fillRect/>
                    </a:stretch>
                  </pic:blipFill>
                  <pic:spPr>
                    <a:xfrm>
                      <a:off x="0" y="0"/>
                      <a:ext cx="1543050" cy="838200"/>
                    </a:xfrm>
                    <a:prstGeom prst="rect">
                      <a:avLst/>
                    </a:prstGeom>
                  </pic:spPr>
                </pic:pic>
              </a:graphicData>
            </a:graphic>
          </wp:anchor>
        </w:drawing>
      </w:r>
    </w:p>
    <w:p w14:paraId="78192FC3" w14:textId="77777777" w:rsidR="00797C7B" w:rsidRDefault="00797C7B" w:rsidP="00BA7019"/>
    <w:p w14:paraId="78192FC4" w14:textId="77777777" w:rsidR="00797C7B" w:rsidRDefault="00797C7B" w:rsidP="00BA7019"/>
    <w:p w14:paraId="78192FC5" w14:textId="77777777" w:rsidR="00797C7B" w:rsidRDefault="00797C7B" w:rsidP="00BA7019"/>
    <w:p w14:paraId="78192FC6" w14:textId="77777777" w:rsidR="00797C7B" w:rsidRDefault="00797C7B" w:rsidP="00BA7019"/>
    <w:p w14:paraId="78192FC7" w14:textId="77777777" w:rsidR="00797C7B" w:rsidRDefault="00797C7B" w:rsidP="00BA7019"/>
    <w:p w14:paraId="78192FC8" w14:textId="77777777" w:rsidR="00797C7B" w:rsidRDefault="00797C7B" w:rsidP="00BA7019"/>
    <w:p w14:paraId="78192FC9" w14:textId="77777777" w:rsidR="00787646" w:rsidRDefault="00787646" w:rsidP="00787646">
      <w:pPr>
        <w:pStyle w:val="Header"/>
        <w:ind w:left="-171"/>
        <w:jc w:val="right"/>
        <w:rPr>
          <w:sz w:val="16"/>
          <w:szCs w:val="16"/>
        </w:rPr>
      </w:pPr>
      <w:r>
        <w:rPr>
          <w:sz w:val="36"/>
          <w:szCs w:val="36"/>
        </w:rPr>
        <w:t>HR Notice</w:t>
      </w:r>
    </w:p>
    <w:tbl>
      <w:tblPr>
        <w:tblW w:w="0" w:type="auto"/>
        <w:tblBorders>
          <w:top w:val="single" w:sz="18" w:space="0" w:color="808080"/>
          <w:bottom w:val="single" w:sz="18" w:space="0" w:color="808080"/>
        </w:tblBorders>
        <w:tblLook w:val="01E0" w:firstRow="1" w:lastRow="1" w:firstColumn="1" w:lastColumn="1" w:noHBand="0" w:noVBand="0"/>
      </w:tblPr>
      <w:tblGrid>
        <w:gridCol w:w="9298"/>
      </w:tblGrid>
      <w:tr w:rsidR="00787646" w14:paraId="78192FD0" w14:textId="77777777" w:rsidTr="0055445B">
        <w:tc>
          <w:tcPr>
            <w:tcW w:w="9514" w:type="dxa"/>
            <w:tcBorders>
              <w:top w:val="nil"/>
              <w:bottom w:val="single" w:sz="18" w:space="0" w:color="666699"/>
            </w:tcBorders>
          </w:tcPr>
          <w:p w14:paraId="78192FCA" w14:textId="77777777" w:rsidR="00787646" w:rsidRPr="000E39F5" w:rsidRDefault="00787646" w:rsidP="0055445B">
            <w:pPr>
              <w:jc w:val="center"/>
              <w:rPr>
                <w:szCs w:val="20"/>
              </w:rPr>
            </w:pPr>
            <w:r w:rsidRPr="000E39F5">
              <w:rPr>
                <w:szCs w:val="20"/>
              </w:rPr>
              <w:t xml:space="preserve">                                                                                                                    </w:t>
            </w:r>
          </w:p>
          <w:p w14:paraId="78192FCB" w14:textId="77777777" w:rsidR="00787646" w:rsidRPr="000E39F5" w:rsidRDefault="003822A8" w:rsidP="0055445B">
            <w:pPr>
              <w:jc w:val="right"/>
              <w:rPr>
                <w:szCs w:val="20"/>
              </w:rPr>
            </w:pPr>
            <w:r w:rsidRPr="000E39F5">
              <w:rPr>
                <w:szCs w:val="20"/>
              </w:rPr>
              <w:t>October 2019</w:t>
            </w:r>
          </w:p>
          <w:p w14:paraId="78192FCC" w14:textId="77777777" w:rsidR="00787646" w:rsidRPr="000E39F5" w:rsidRDefault="00787646" w:rsidP="0055445B">
            <w:pPr>
              <w:jc w:val="right"/>
              <w:rPr>
                <w:szCs w:val="20"/>
              </w:rPr>
            </w:pPr>
          </w:p>
          <w:p w14:paraId="78192FCD" w14:textId="77777777" w:rsidR="00787646" w:rsidRPr="000E39F5" w:rsidRDefault="00787646" w:rsidP="0055445B">
            <w:pPr>
              <w:rPr>
                <w:szCs w:val="20"/>
              </w:rPr>
            </w:pPr>
            <w:r w:rsidRPr="000E39F5">
              <w:rPr>
                <w:b/>
                <w:szCs w:val="20"/>
              </w:rPr>
              <w:t xml:space="preserve">All Ofgem Employees                                                                            </w:t>
            </w:r>
            <w:r w:rsidRPr="000E39F5">
              <w:rPr>
                <w:szCs w:val="20"/>
              </w:rPr>
              <w:t xml:space="preserve">  </w:t>
            </w:r>
          </w:p>
          <w:p w14:paraId="78192FCE" w14:textId="77777777" w:rsidR="00787646" w:rsidRPr="000E39F5" w:rsidRDefault="00787646" w:rsidP="0055445B">
            <w:pPr>
              <w:jc w:val="right"/>
              <w:rPr>
                <w:szCs w:val="20"/>
              </w:rPr>
            </w:pPr>
          </w:p>
          <w:p w14:paraId="78192FCF" w14:textId="77777777" w:rsidR="00787646" w:rsidRPr="000E39F5" w:rsidRDefault="00787646" w:rsidP="0055445B">
            <w:pPr>
              <w:pStyle w:val="Title1"/>
            </w:pPr>
          </w:p>
        </w:tc>
      </w:tr>
      <w:tr w:rsidR="00787646" w:rsidRPr="009C4DFA" w14:paraId="78192FD3" w14:textId="77777777" w:rsidTr="0055445B">
        <w:trPr>
          <w:trHeight w:val="876"/>
        </w:trPr>
        <w:tc>
          <w:tcPr>
            <w:tcW w:w="9514" w:type="dxa"/>
            <w:tcBorders>
              <w:top w:val="single" w:sz="18" w:space="0" w:color="666699"/>
            </w:tcBorders>
          </w:tcPr>
          <w:p w14:paraId="78192FD1" w14:textId="77777777" w:rsidR="00787646" w:rsidRPr="000E39F5" w:rsidRDefault="00787646" w:rsidP="0055445B">
            <w:pPr>
              <w:jc w:val="center"/>
              <w:rPr>
                <w:b/>
                <w:szCs w:val="20"/>
              </w:rPr>
            </w:pPr>
          </w:p>
          <w:p w14:paraId="78192FD2" w14:textId="77777777" w:rsidR="00787646" w:rsidRPr="000E39F5" w:rsidRDefault="00787646" w:rsidP="003822A8">
            <w:pPr>
              <w:tabs>
                <w:tab w:val="center" w:pos="4513"/>
              </w:tabs>
              <w:suppressAutoHyphens/>
              <w:jc w:val="center"/>
              <w:rPr>
                <w:b/>
                <w:szCs w:val="20"/>
              </w:rPr>
            </w:pPr>
            <w:r w:rsidRPr="000E39F5">
              <w:rPr>
                <w:b/>
                <w:szCs w:val="20"/>
              </w:rPr>
              <w:t xml:space="preserve">Ofgem Pay </w:t>
            </w:r>
            <w:r w:rsidR="00AF3C4E" w:rsidRPr="000E39F5">
              <w:rPr>
                <w:b/>
                <w:szCs w:val="20"/>
              </w:rPr>
              <w:t>Deal</w:t>
            </w:r>
            <w:r w:rsidRPr="000E39F5">
              <w:rPr>
                <w:b/>
                <w:szCs w:val="20"/>
              </w:rPr>
              <w:t xml:space="preserve"> 201</w:t>
            </w:r>
            <w:r w:rsidR="003822A8" w:rsidRPr="000E39F5">
              <w:rPr>
                <w:b/>
                <w:szCs w:val="20"/>
              </w:rPr>
              <w:t>9</w:t>
            </w:r>
            <w:r w:rsidRPr="000E39F5">
              <w:rPr>
                <w:b/>
                <w:szCs w:val="20"/>
              </w:rPr>
              <w:t xml:space="preserve"> (Bands A to E)</w:t>
            </w:r>
          </w:p>
        </w:tc>
      </w:tr>
    </w:tbl>
    <w:p w14:paraId="78192FD4" w14:textId="77777777" w:rsidR="00787646" w:rsidRDefault="00787646" w:rsidP="00787646">
      <w:pPr>
        <w:jc w:val="both"/>
        <w:rPr>
          <w:szCs w:val="20"/>
        </w:rPr>
      </w:pPr>
    </w:p>
    <w:p w14:paraId="78192FD5" w14:textId="77777777" w:rsidR="00787646" w:rsidRPr="000E39F5" w:rsidRDefault="00787646" w:rsidP="000E39F5">
      <w:pPr>
        <w:pStyle w:val="ListParagraph"/>
        <w:numPr>
          <w:ilvl w:val="0"/>
          <w:numId w:val="28"/>
        </w:numPr>
        <w:tabs>
          <w:tab w:val="left" w:pos="709"/>
        </w:tabs>
        <w:rPr>
          <w:rFonts w:ascii="Verdana" w:hAnsi="Verdana"/>
          <w:b/>
          <w:sz w:val="20"/>
          <w:u w:val="single"/>
        </w:rPr>
      </w:pPr>
      <w:r w:rsidRPr="000E39F5">
        <w:rPr>
          <w:rFonts w:ascii="Verdana" w:hAnsi="Verdana"/>
          <w:b/>
          <w:sz w:val="20"/>
          <w:u w:val="single"/>
        </w:rPr>
        <w:t>Introduction</w:t>
      </w:r>
    </w:p>
    <w:p w14:paraId="78192FD6" w14:textId="77777777" w:rsidR="00787646" w:rsidRPr="000E39F5" w:rsidRDefault="00787646" w:rsidP="00B95B92">
      <w:pPr>
        <w:jc w:val="both"/>
        <w:rPr>
          <w:szCs w:val="20"/>
        </w:rPr>
      </w:pPr>
    </w:p>
    <w:p w14:paraId="78192FD7" w14:textId="77777777" w:rsidR="00164C85" w:rsidRPr="000E39F5" w:rsidRDefault="003822A8" w:rsidP="000E39F5">
      <w:pPr>
        <w:pStyle w:val="ListParagraph"/>
        <w:numPr>
          <w:ilvl w:val="1"/>
          <w:numId w:val="28"/>
        </w:numPr>
        <w:rPr>
          <w:rFonts w:ascii="Verdana" w:hAnsi="Verdana"/>
          <w:b/>
          <w:color w:val="000000"/>
          <w:sz w:val="20"/>
        </w:rPr>
      </w:pPr>
      <w:r w:rsidRPr="000E39F5">
        <w:rPr>
          <w:rFonts w:ascii="Verdana" w:hAnsi="Verdana"/>
          <w:color w:val="000000"/>
          <w:sz w:val="20"/>
        </w:rPr>
        <w:t xml:space="preserve">Following the recent </w:t>
      </w:r>
      <w:r w:rsidR="006F2BA2">
        <w:rPr>
          <w:rFonts w:ascii="Verdana" w:hAnsi="Verdana"/>
          <w:color w:val="000000"/>
          <w:sz w:val="20"/>
        </w:rPr>
        <w:t>announcement</w:t>
      </w:r>
      <w:r w:rsidRPr="000E39F5">
        <w:rPr>
          <w:rFonts w:ascii="Verdana" w:hAnsi="Verdana"/>
          <w:color w:val="000000"/>
          <w:sz w:val="20"/>
        </w:rPr>
        <w:t xml:space="preserve"> from Sarah Cox, we </w:t>
      </w:r>
      <w:r w:rsidR="00164C85" w:rsidRPr="000E39F5">
        <w:rPr>
          <w:rFonts w:ascii="Verdana" w:hAnsi="Verdana"/>
          <w:color w:val="000000"/>
          <w:sz w:val="20"/>
        </w:rPr>
        <w:t>are p</w:t>
      </w:r>
      <w:r w:rsidR="00787646" w:rsidRPr="000E39F5">
        <w:rPr>
          <w:rFonts w:ascii="Verdana" w:hAnsi="Verdana"/>
          <w:color w:val="000000"/>
          <w:sz w:val="20"/>
        </w:rPr>
        <w:t xml:space="preserve">leased to confirm </w:t>
      </w:r>
      <w:r w:rsidRPr="000E39F5">
        <w:rPr>
          <w:rFonts w:ascii="Verdana" w:hAnsi="Verdana"/>
          <w:color w:val="000000"/>
          <w:sz w:val="20"/>
        </w:rPr>
        <w:t xml:space="preserve">that following agreement with the Trade Unions, we are implementing the 2019 pay award </w:t>
      </w:r>
      <w:r w:rsidR="00E60283">
        <w:rPr>
          <w:rFonts w:ascii="Verdana" w:hAnsi="Verdana"/>
          <w:color w:val="000000"/>
          <w:sz w:val="20"/>
        </w:rPr>
        <w:t xml:space="preserve">and performance bonuses </w:t>
      </w:r>
      <w:r w:rsidRPr="000E39F5">
        <w:rPr>
          <w:rFonts w:ascii="Verdana" w:hAnsi="Verdana"/>
          <w:color w:val="000000"/>
          <w:sz w:val="20"/>
        </w:rPr>
        <w:t xml:space="preserve">for Bands A to E. SCS employees will be notified separately of their pay award. </w:t>
      </w:r>
      <w:r w:rsidR="00164C85" w:rsidRPr="000E39F5">
        <w:rPr>
          <w:rFonts w:ascii="Verdana" w:hAnsi="Verdana"/>
          <w:color w:val="000000"/>
          <w:sz w:val="20"/>
        </w:rPr>
        <w:t xml:space="preserve"> </w:t>
      </w:r>
    </w:p>
    <w:p w14:paraId="78192FD8" w14:textId="77777777" w:rsidR="00164C85" w:rsidRPr="000E39F5" w:rsidRDefault="00164C85" w:rsidP="00B95B92">
      <w:pPr>
        <w:ind w:left="-360"/>
        <w:jc w:val="both"/>
        <w:rPr>
          <w:b/>
          <w:color w:val="000000"/>
          <w:szCs w:val="20"/>
        </w:rPr>
      </w:pPr>
    </w:p>
    <w:p w14:paraId="78192FD9" w14:textId="77777777" w:rsidR="00787646" w:rsidRPr="000E39F5" w:rsidRDefault="00164C85" w:rsidP="000E39F5">
      <w:pPr>
        <w:pStyle w:val="ListParagraph"/>
        <w:numPr>
          <w:ilvl w:val="1"/>
          <w:numId w:val="28"/>
        </w:numPr>
        <w:rPr>
          <w:rFonts w:ascii="Verdana" w:hAnsi="Verdana"/>
          <w:b/>
          <w:color w:val="000000"/>
          <w:sz w:val="20"/>
        </w:rPr>
      </w:pPr>
      <w:r w:rsidRPr="000E39F5">
        <w:rPr>
          <w:rFonts w:ascii="Verdana" w:hAnsi="Verdana"/>
          <w:color w:val="000000"/>
          <w:sz w:val="20"/>
        </w:rPr>
        <w:t>T</w:t>
      </w:r>
      <w:r w:rsidR="003822A8" w:rsidRPr="000E39F5">
        <w:rPr>
          <w:rFonts w:ascii="Verdana" w:hAnsi="Verdana"/>
          <w:color w:val="000000"/>
          <w:sz w:val="20"/>
        </w:rPr>
        <w:t xml:space="preserve">his notice sets out the key points and elements of Ofgem’s </w:t>
      </w:r>
      <w:r w:rsidR="00500368">
        <w:rPr>
          <w:rFonts w:ascii="Verdana" w:hAnsi="Verdana"/>
          <w:color w:val="000000"/>
          <w:sz w:val="20"/>
        </w:rPr>
        <w:t xml:space="preserve">2019 </w:t>
      </w:r>
      <w:r w:rsidR="003822A8" w:rsidRPr="000E39F5">
        <w:rPr>
          <w:rFonts w:ascii="Verdana" w:hAnsi="Verdana"/>
          <w:color w:val="000000"/>
          <w:sz w:val="20"/>
        </w:rPr>
        <w:t>pay award</w:t>
      </w:r>
      <w:r w:rsidR="00500368">
        <w:rPr>
          <w:rFonts w:ascii="Verdana" w:hAnsi="Verdana"/>
          <w:color w:val="000000"/>
          <w:sz w:val="20"/>
        </w:rPr>
        <w:t xml:space="preserve"> </w:t>
      </w:r>
      <w:r w:rsidR="00E60283">
        <w:rPr>
          <w:rFonts w:ascii="Verdana" w:hAnsi="Verdana"/>
          <w:color w:val="000000"/>
          <w:sz w:val="20"/>
        </w:rPr>
        <w:t>and performance bonuses</w:t>
      </w:r>
      <w:r w:rsidR="003822A8" w:rsidRPr="000E39F5">
        <w:rPr>
          <w:rFonts w:ascii="Verdana" w:hAnsi="Verdana"/>
          <w:color w:val="000000"/>
          <w:sz w:val="20"/>
        </w:rPr>
        <w:t xml:space="preserve"> for 201</w:t>
      </w:r>
      <w:r w:rsidR="00500368">
        <w:rPr>
          <w:rFonts w:ascii="Verdana" w:hAnsi="Verdana"/>
          <w:color w:val="000000"/>
          <w:sz w:val="20"/>
        </w:rPr>
        <w:t>8-19</w:t>
      </w:r>
      <w:r w:rsidR="003822A8" w:rsidRPr="000E39F5">
        <w:rPr>
          <w:rFonts w:ascii="Verdana" w:hAnsi="Verdana"/>
          <w:color w:val="000000"/>
          <w:sz w:val="20"/>
        </w:rPr>
        <w:t xml:space="preserve"> and is accompanied by a frequently answered questions section</w:t>
      </w:r>
      <w:r w:rsidRPr="000E39F5">
        <w:rPr>
          <w:rFonts w:ascii="Verdana" w:hAnsi="Verdana"/>
          <w:color w:val="000000"/>
          <w:sz w:val="20"/>
        </w:rPr>
        <w:t>.</w:t>
      </w:r>
    </w:p>
    <w:p w14:paraId="78192FDA" w14:textId="77777777" w:rsidR="007F3BEC" w:rsidRPr="000E39F5" w:rsidRDefault="007F3BEC" w:rsidP="007F3BEC">
      <w:pPr>
        <w:pStyle w:val="ListParagraph"/>
        <w:rPr>
          <w:rFonts w:ascii="Verdana" w:hAnsi="Verdana"/>
          <w:b/>
          <w:color w:val="000000"/>
          <w:sz w:val="20"/>
        </w:rPr>
      </w:pPr>
    </w:p>
    <w:p w14:paraId="78192FDB" w14:textId="77777777" w:rsidR="007F3BEC" w:rsidRPr="000E39F5" w:rsidRDefault="007F3BEC" w:rsidP="000E39F5">
      <w:pPr>
        <w:pStyle w:val="ListParagraph"/>
        <w:numPr>
          <w:ilvl w:val="1"/>
          <w:numId w:val="28"/>
        </w:numPr>
        <w:rPr>
          <w:rFonts w:ascii="Verdana" w:hAnsi="Verdana"/>
          <w:color w:val="000000"/>
          <w:sz w:val="20"/>
        </w:rPr>
      </w:pPr>
      <w:r w:rsidRPr="000E39F5">
        <w:rPr>
          <w:rFonts w:ascii="Verdana" w:hAnsi="Verdana"/>
          <w:color w:val="000000"/>
          <w:sz w:val="20"/>
        </w:rPr>
        <w:t>Please note:</w:t>
      </w:r>
    </w:p>
    <w:p w14:paraId="78192FDC" w14:textId="77777777" w:rsidR="007F3BEC" w:rsidRPr="000E39F5" w:rsidRDefault="007F3BEC" w:rsidP="007F3BEC">
      <w:pPr>
        <w:pStyle w:val="ListParagraph"/>
        <w:rPr>
          <w:rFonts w:ascii="Verdana" w:hAnsi="Verdana"/>
          <w:b/>
          <w:color w:val="000000"/>
          <w:sz w:val="20"/>
        </w:rPr>
      </w:pPr>
    </w:p>
    <w:p w14:paraId="78192FDD" w14:textId="77777777" w:rsidR="003822A8" w:rsidRPr="000E39F5" w:rsidRDefault="000E39F5" w:rsidP="000E39F5">
      <w:pPr>
        <w:pStyle w:val="ListParagraph"/>
        <w:numPr>
          <w:ilvl w:val="2"/>
          <w:numId w:val="28"/>
        </w:numPr>
        <w:rPr>
          <w:rFonts w:ascii="Verdana" w:hAnsi="Verdana"/>
          <w:b/>
          <w:color w:val="000000"/>
          <w:sz w:val="20"/>
        </w:rPr>
      </w:pPr>
      <w:r w:rsidRPr="000E39F5">
        <w:rPr>
          <w:rFonts w:ascii="Verdana" w:hAnsi="Verdana"/>
          <w:b/>
          <w:color w:val="000000"/>
          <w:sz w:val="20"/>
        </w:rPr>
        <w:t>I</w:t>
      </w:r>
      <w:r w:rsidR="007F3BEC" w:rsidRPr="000E39F5">
        <w:rPr>
          <w:rFonts w:ascii="Verdana" w:hAnsi="Verdana"/>
          <w:b/>
          <w:color w:val="000000"/>
          <w:sz w:val="20"/>
        </w:rPr>
        <w:t xml:space="preserve">ndividual letters will not be issued to </w:t>
      </w:r>
      <w:r w:rsidR="003822A8" w:rsidRPr="000E39F5">
        <w:rPr>
          <w:rFonts w:ascii="Verdana" w:hAnsi="Verdana"/>
          <w:b/>
          <w:color w:val="000000"/>
          <w:sz w:val="20"/>
        </w:rPr>
        <w:t xml:space="preserve">employees </w:t>
      </w:r>
      <w:r w:rsidR="007F3BEC" w:rsidRPr="000E39F5">
        <w:rPr>
          <w:rFonts w:ascii="Verdana" w:hAnsi="Verdana"/>
          <w:b/>
          <w:color w:val="000000"/>
          <w:sz w:val="20"/>
        </w:rPr>
        <w:t>setting out the detail of their pay award and bonuses. If you have any questions you should direct them to the</w:t>
      </w:r>
      <w:r w:rsidR="003822A8" w:rsidRPr="000E39F5">
        <w:rPr>
          <w:rFonts w:ascii="Verdana" w:hAnsi="Verdana"/>
          <w:b/>
          <w:color w:val="000000"/>
          <w:sz w:val="20"/>
        </w:rPr>
        <w:t xml:space="preserve"> People Team and email the People Centre </w:t>
      </w:r>
      <w:r w:rsidRPr="000E39F5">
        <w:rPr>
          <w:rFonts w:ascii="Verdana" w:hAnsi="Verdana"/>
          <w:b/>
          <w:color w:val="000000"/>
          <w:sz w:val="20"/>
        </w:rPr>
        <w:t xml:space="preserve">to the </w:t>
      </w:r>
      <w:r w:rsidR="003822A8" w:rsidRPr="000E39F5">
        <w:rPr>
          <w:rFonts w:ascii="Verdana" w:hAnsi="Verdana"/>
          <w:b/>
          <w:color w:val="000000"/>
          <w:sz w:val="20"/>
        </w:rPr>
        <w:t>following</w:t>
      </w:r>
      <w:r w:rsidRPr="000E39F5">
        <w:rPr>
          <w:rFonts w:ascii="Verdana" w:hAnsi="Verdana"/>
          <w:b/>
          <w:color w:val="000000"/>
          <w:sz w:val="20"/>
        </w:rPr>
        <w:t xml:space="preserve"> HR mailboxes</w:t>
      </w:r>
      <w:r w:rsidR="003822A8" w:rsidRPr="000E39F5">
        <w:rPr>
          <w:rFonts w:ascii="Verdana" w:hAnsi="Verdana"/>
          <w:b/>
          <w:color w:val="000000"/>
          <w:sz w:val="20"/>
        </w:rPr>
        <w:t xml:space="preserve">: </w:t>
      </w:r>
    </w:p>
    <w:p w14:paraId="78192FDE" w14:textId="77777777" w:rsidR="000E39F5" w:rsidRPr="000E39F5" w:rsidRDefault="000E39F5" w:rsidP="000E39F5">
      <w:pPr>
        <w:spacing w:before="100" w:line="216" w:lineRule="auto"/>
        <w:ind w:left="720"/>
        <w:rPr>
          <w:rFonts w:cs="Times New Roman"/>
          <w:szCs w:val="20"/>
        </w:rPr>
      </w:pPr>
      <w:r w:rsidRPr="000E39F5">
        <w:rPr>
          <w:rFonts w:eastAsia="Verdana" w:cs="Verdana"/>
          <w:b/>
          <w:bCs/>
          <w:color w:val="000000"/>
          <w:kern w:val="24"/>
          <w:szCs w:val="20"/>
        </w:rPr>
        <w:t xml:space="preserve"> </w:t>
      </w:r>
    </w:p>
    <w:p w14:paraId="78192FDF" w14:textId="77777777" w:rsidR="000E39F5" w:rsidRPr="000E39F5" w:rsidRDefault="002D7817" w:rsidP="000E39F5">
      <w:pPr>
        <w:numPr>
          <w:ilvl w:val="1"/>
          <w:numId w:val="33"/>
        </w:numPr>
        <w:spacing w:line="216" w:lineRule="auto"/>
        <w:ind w:left="2520"/>
        <w:contextualSpacing/>
        <w:rPr>
          <w:b/>
          <w:szCs w:val="20"/>
        </w:rPr>
      </w:pPr>
      <w:hyperlink r:id="rId13" w:history="1">
        <w:r w:rsidR="003D4C13" w:rsidRPr="000E39F5">
          <w:rPr>
            <w:rFonts w:eastAsia="Verdana"/>
            <w:b/>
            <w:color w:val="000000"/>
            <w:kern w:val="24"/>
            <w:szCs w:val="20"/>
            <w:u w:val="single"/>
          </w:rPr>
          <w:t>DeliveryHR@ofgem.gov.uk</w:t>
        </w:r>
      </w:hyperlink>
      <w:r w:rsidR="000E39F5" w:rsidRPr="000E39F5">
        <w:rPr>
          <w:rFonts w:eastAsia="Verdana"/>
          <w:b/>
          <w:color w:val="000000"/>
          <w:kern w:val="24"/>
          <w:szCs w:val="20"/>
        </w:rPr>
        <w:t xml:space="preserve"> </w:t>
      </w:r>
    </w:p>
    <w:p w14:paraId="78192FE0" w14:textId="77777777" w:rsidR="000E39F5" w:rsidRPr="000E39F5" w:rsidRDefault="002D7817" w:rsidP="000E39F5">
      <w:pPr>
        <w:numPr>
          <w:ilvl w:val="1"/>
          <w:numId w:val="33"/>
        </w:numPr>
        <w:spacing w:line="216" w:lineRule="auto"/>
        <w:ind w:left="2520"/>
        <w:contextualSpacing/>
        <w:rPr>
          <w:b/>
          <w:szCs w:val="20"/>
        </w:rPr>
      </w:pPr>
      <w:hyperlink r:id="rId14" w:history="1">
        <w:r w:rsidR="003D4C13" w:rsidRPr="000E39F5">
          <w:rPr>
            <w:rFonts w:eastAsia="Verdana"/>
            <w:b/>
            <w:color w:val="000000"/>
            <w:kern w:val="24"/>
            <w:szCs w:val="20"/>
            <w:u w:val="single"/>
          </w:rPr>
          <w:t>SandNHR@ofgem.gov.uk</w:t>
        </w:r>
      </w:hyperlink>
      <w:r w:rsidR="000E39F5" w:rsidRPr="000E39F5">
        <w:rPr>
          <w:rFonts w:eastAsia="Verdana"/>
          <w:b/>
          <w:color w:val="000000"/>
          <w:kern w:val="24"/>
          <w:szCs w:val="20"/>
        </w:rPr>
        <w:t xml:space="preserve"> </w:t>
      </w:r>
    </w:p>
    <w:p w14:paraId="78192FE1" w14:textId="77777777" w:rsidR="000E39F5" w:rsidRPr="000E39F5" w:rsidRDefault="002D7817" w:rsidP="000E39F5">
      <w:pPr>
        <w:numPr>
          <w:ilvl w:val="1"/>
          <w:numId w:val="33"/>
        </w:numPr>
        <w:spacing w:line="216" w:lineRule="auto"/>
        <w:ind w:left="2520"/>
        <w:contextualSpacing/>
        <w:rPr>
          <w:b/>
          <w:szCs w:val="20"/>
        </w:rPr>
      </w:pPr>
      <w:hyperlink r:id="rId15" w:history="1">
        <w:r w:rsidR="003D4C13" w:rsidRPr="000E39F5">
          <w:rPr>
            <w:rFonts w:eastAsia="Verdana"/>
            <w:b/>
            <w:color w:val="000000"/>
            <w:kern w:val="24"/>
            <w:szCs w:val="20"/>
            <w:u w:val="single"/>
          </w:rPr>
          <w:t>CandMHR@ofgem.gov.uk</w:t>
        </w:r>
      </w:hyperlink>
      <w:r w:rsidR="000E39F5" w:rsidRPr="000E39F5">
        <w:rPr>
          <w:rFonts w:eastAsia="Verdana"/>
          <w:b/>
          <w:color w:val="000000"/>
          <w:kern w:val="24"/>
          <w:szCs w:val="20"/>
        </w:rPr>
        <w:t xml:space="preserve"> </w:t>
      </w:r>
    </w:p>
    <w:p w14:paraId="78192FE2" w14:textId="77777777" w:rsidR="000E39F5" w:rsidRPr="000E39F5" w:rsidRDefault="002D7817" w:rsidP="000E39F5">
      <w:pPr>
        <w:numPr>
          <w:ilvl w:val="1"/>
          <w:numId w:val="33"/>
        </w:numPr>
        <w:spacing w:line="216" w:lineRule="auto"/>
        <w:ind w:left="2520"/>
        <w:contextualSpacing/>
        <w:rPr>
          <w:b/>
          <w:szCs w:val="20"/>
        </w:rPr>
      </w:pPr>
      <w:hyperlink r:id="rId16" w:history="1">
        <w:r w:rsidR="003D4C13" w:rsidRPr="000E39F5">
          <w:rPr>
            <w:rFonts w:eastAsia="Verdana"/>
            <w:b/>
            <w:color w:val="000000"/>
            <w:kern w:val="24"/>
            <w:szCs w:val="20"/>
            <w:u w:val="single"/>
          </w:rPr>
          <w:t>EserveHR@ofgem.gov.uk</w:t>
        </w:r>
      </w:hyperlink>
    </w:p>
    <w:p w14:paraId="78192FE3" w14:textId="77777777" w:rsidR="007F3BEC" w:rsidRPr="000E39F5" w:rsidRDefault="007F3BEC" w:rsidP="007F3BEC">
      <w:pPr>
        <w:pStyle w:val="ListParagraph"/>
        <w:rPr>
          <w:rFonts w:ascii="Verdana" w:hAnsi="Verdana"/>
          <w:b/>
          <w:color w:val="000000"/>
          <w:sz w:val="20"/>
        </w:rPr>
      </w:pPr>
    </w:p>
    <w:p w14:paraId="78192FE4" w14:textId="77777777" w:rsidR="00787646" w:rsidRPr="00DE167E" w:rsidRDefault="000E39F5" w:rsidP="000E39F5">
      <w:pPr>
        <w:pStyle w:val="ListParagraph"/>
        <w:numPr>
          <w:ilvl w:val="2"/>
          <w:numId w:val="28"/>
        </w:numPr>
        <w:rPr>
          <w:rFonts w:ascii="Verdana" w:hAnsi="Verdana"/>
          <w:b/>
          <w:color w:val="000000"/>
          <w:sz w:val="20"/>
        </w:rPr>
      </w:pPr>
      <w:r w:rsidRPr="000E39F5">
        <w:rPr>
          <w:rFonts w:ascii="Verdana" w:hAnsi="Verdana"/>
          <w:color w:val="000000"/>
          <w:sz w:val="20"/>
        </w:rPr>
        <w:t xml:space="preserve">It should also be noted that </w:t>
      </w:r>
      <w:r w:rsidR="007F3BEC" w:rsidRPr="000E39F5">
        <w:rPr>
          <w:rFonts w:ascii="Verdana" w:hAnsi="Verdana"/>
          <w:b/>
          <w:color w:val="000000"/>
          <w:sz w:val="20"/>
          <w:u w:val="single"/>
        </w:rPr>
        <w:t>not</w:t>
      </w:r>
      <w:r w:rsidR="007F3BEC" w:rsidRPr="000E39F5">
        <w:rPr>
          <w:rFonts w:ascii="Verdana" w:hAnsi="Verdana"/>
          <w:b/>
          <w:color w:val="000000"/>
          <w:sz w:val="20"/>
        </w:rPr>
        <w:t xml:space="preserve"> </w:t>
      </w:r>
      <w:r w:rsidR="007F3BEC" w:rsidRPr="000E39F5">
        <w:rPr>
          <w:rFonts w:ascii="Verdana" w:hAnsi="Verdana"/>
          <w:color w:val="000000"/>
          <w:sz w:val="20"/>
        </w:rPr>
        <w:t>all employees are eligible to receive a pay award</w:t>
      </w:r>
      <w:r w:rsidRPr="000E39F5">
        <w:rPr>
          <w:rFonts w:ascii="Verdana" w:hAnsi="Verdana"/>
          <w:color w:val="000000"/>
          <w:sz w:val="20"/>
        </w:rPr>
        <w:t xml:space="preserve"> </w:t>
      </w:r>
      <w:r w:rsidR="000F780C">
        <w:rPr>
          <w:rFonts w:ascii="Verdana" w:hAnsi="Verdana"/>
          <w:color w:val="000000"/>
          <w:sz w:val="20"/>
        </w:rPr>
        <w:t xml:space="preserve">and/or bonuses </w:t>
      </w:r>
      <w:r w:rsidRPr="000E39F5">
        <w:rPr>
          <w:rFonts w:ascii="Verdana" w:hAnsi="Verdana"/>
          <w:color w:val="000000"/>
          <w:sz w:val="20"/>
        </w:rPr>
        <w:t xml:space="preserve">and this is explained further in this notice. </w:t>
      </w:r>
    </w:p>
    <w:p w14:paraId="78192FE5" w14:textId="77777777" w:rsidR="00DE167E" w:rsidRPr="000E39F5" w:rsidRDefault="00DE167E" w:rsidP="00DE167E">
      <w:pPr>
        <w:pStyle w:val="ListParagraph"/>
        <w:rPr>
          <w:rFonts w:ascii="Verdana" w:hAnsi="Verdana"/>
          <w:b/>
          <w:color w:val="000000"/>
          <w:sz w:val="20"/>
        </w:rPr>
      </w:pPr>
    </w:p>
    <w:p w14:paraId="78192FE6" w14:textId="77777777" w:rsidR="008F0BEA" w:rsidRDefault="008F0BEA" w:rsidP="00B95B92">
      <w:pPr>
        <w:rPr>
          <w:b/>
          <w:color w:val="000000"/>
          <w:szCs w:val="20"/>
        </w:rPr>
      </w:pPr>
    </w:p>
    <w:p w14:paraId="78192FE7" w14:textId="77777777" w:rsidR="007E776B" w:rsidRDefault="007E776B" w:rsidP="00B95B92">
      <w:pPr>
        <w:rPr>
          <w:b/>
          <w:color w:val="000000"/>
          <w:szCs w:val="20"/>
        </w:rPr>
      </w:pPr>
    </w:p>
    <w:p w14:paraId="78192FE8" w14:textId="77777777" w:rsidR="007E776B" w:rsidRPr="000E39F5" w:rsidRDefault="007E776B" w:rsidP="00B95B92">
      <w:pPr>
        <w:rPr>
          <w:b/>
          <w:color w:val="000000"/>
          <w:szCs w:val="20"/>
        </w:rPr>
      </w:pPr>
    </w:p>
    <w:p w14:paraId="78192FE9" w14:textId="77777777" w:rsidR="009E3E58" w:rsidRPr="003D4C13" w:rsidRDefault="000E39F5" w:rsidP="000E39F5">
      <w:pPr>
        <w:pStyle w:val="ListParagraph"/>
        <w:numPr>
          <w:ilvl w:val="0"/>
          <w:numId w:val="28"/>
        </w:numPr>
        <w:rPr>
          <w:rFonts w:ascii="Verdana" w:hAnsi="Verdana"/>
          <w:b/>
          <w:color w:val="000000"/>
          <w:sz w:val="20"/>
          <w:u w:val="single"/>
        </w:rPr>
      </w:pPr>
      <w:r w:rsidRPr="003D4C13">
        <w:rPr>
          <w:rFonts w:ascii="Verdana" w:hAnsi="Verdana"/>
          <w:color w:val="000000"/>
          <w:sz w:val="20"/>
        </w:rPr>
        <w:lastRenderedPageBreak/>
        <w:t xml:space="preserve">     </w:t>
      </w:r>
      <w:r w:rsidR="009E3E58" w:rsidRPr="003D4C13">
        <w:rPr>
          <w:rFonts w:ascii="Verdana" w:hAnsi="Verdana"/>
          <w:b/>
          <w:color w:val="000000"/>
          <w:sz w:val="20"/>
          <w:u w:val="single"/>
        </w:rPr>
        <w:t>Pay deal components</w:t>
      </w:r>
    </w:p>
    <w:p w14:paraId="78192FEA" w14:textId="77777777" w:rsidR="009E3E58" w:rsidRPr="003D4C13" w:rsidRDefault="009E3E58" w:rsidP="00B95B92">
      <w:pPr>
        <w:rPr>
          <w:b/>
          <w:color w:val="000000"/>
          <w:szCs w:val="20"/>
        </w:rPr>
      </w:pPr>
    </w:p>
    <w:p w14:paraId="78192FEB" w14:textId="77777777" w:rsidR="009E3E58" w:rsidRPr="003D4C13" w:rsidRDefault="009E3E58" w:rsidP="008B6BA4">
      <w:pPr>
        <w:pStyle w:val="ListParagraph"/>
        <w:numPr>
          <w:ilvl w:val="1"/>
          <w:numId w:val="28"/>
        </w:numPr>
        <w:rPr>
          <w:rFonts w:ascii="Verdana" w:hAnsi="Verdana"/>
          <w:color w:val="000000"/>
          <w:sz w:val="20"/>
        </w:rPr>
      </w:pPr>
      <w:r w:rsidRPr="003D4C13">
        <w:rPr>
          <w:rFonts w:ascii="Verdana" w:hAnsi="Verdana"/>
          <w:color w:val="000000"/>
          <w:sz w:val="20"/>
        </w:rPr>
        <w:t xml:space="preserve">This year’s pay deal comprises, for eligible </w:t>
      </w:r>
      <w:r w:rsidR="000E39F5" w:rsidRPr="003D4C13">
        <w:rPr>
          <w:rFonts w:ascii="Verdana" w:hAnsi="Verdana"/>
          <w:color w:val="000000"/>
          <w:sz w:val="20"/>
        </w:rPr>
        <w:t>employees</w:t>
      </w:r>
      <w:r w:rsidRPr="003D4C13">
        <w:rPr>
          <w:rFonts w:ascii="Verdana" w:hAnsi="Verdana"/>
          <w:color w:val="000000"/>
          <w:sz w:val="20"/>
        </w:rPr>
        <w:t>, the following elements:</w:t>
      </w:r>
    </w:p>
    <w:p w14:paraId="78192FEC" w14:textId="77777777" w:rsidR="003D4C13" w:rsidRPr="003D4C13" w:rsidRDefault="003D4C13" w:rsidP="003D4C13">
      <w:pPr>
        <w:rPr>
          <w:color w:val="000000"/>
          <w:szCs w:val="20"/>
        </w:rPr>
      </w:pPr>
    </w:p>
    <w:p w14:paraId="78192FED" w14:textId="77777777" w:rsidR="003D4C13" w:rsidRPr="003D4C13" w:rsidRDefault="009E3E58" w:rsidP="003D4C13">
      <w:pPr>
        <w:pStyle w:val="ListParagraph"/>
        <w:numPr>
          <w:ilvl w:val="2"/>
          <w:numId w:val="28"/>
        </w:numPr>
        <w:rPr>
          <w:rFonts w:ascii="Verdana" w:hAnsi="Verdana"/>
          <w:color w:val="000000"/>
          <w:sz w:val="20"/>
        </w:rPr>
      </w:pPr>
      <w:r w:rsidRPr="003D4C13">
        <w:rPr>
          <w:rFonts w:ascii="Verdana" w:hAnsi="Verdana"/>
          <w:b/>
          <w:color w:val="000000"/>
          <w:sz w:val="20"/>
        </w:rPr>
        <w:t>The consolidated pay award</w:t>
      </w:r>
      <w:r w:rsidR="003D4C13" w:rsidRPr="003D4C13">
        <w:rPr>
          <w:rFonts w:ascii="Verdana" w:hAnsi="Verdana"/>
          <w:b/>
          <w:color w:val="000000"/>
          <w:sz w:val="20"/>
        </w:rPr>
        <w:t>:</w:t>
      </w:r>
    </w:p>
    <w:p w14:paraId="78192FEE" w14:textId="77777777" w:rsidR="003D4C13" w:rsidRPr="003D4C13" w:rsidRDefault="003D4C13" w:rsidP="003D4C13">
      <w:pPr>
        <w:pStyle w:val="ListParagraph"/>
        <w:numPr>
          <w:ilvl w:val="0"/>
          <w:numId w:val="34"/>
        </w:numPr>
        <w:rPr>
          <w:rFonts w:ascii="Verdana" w:hAnsi="Verdana"/>
          <w:color w:val="000000"/>
          <w:sz w:val="20"/>
        </w:rPr>
      </w:pPr>
      <w:r w:rsidRPr="003D4C13">
        <w:rPr>
          <w:rFonts w:ascii="Verdana" w:hAnsi="Verdana"/>
          <w:color w:val="000000"/>
          <w:sz w:val="20"/>
        </w:rPr>
        <w:t>T</w:t>
      </w:r>
      <w:r w:rsidR="009E3E58" w:rsidRPr="003D4C13">
        <w:rPr>
          <w:rFonts w:ascii="Verdana" w:hAnsi="Verdana"/>
          <w:color w:val="000000"/>
          <w:sz w:val="20"/>
        </w:rPr>
        <w:t xml:space="preserve">his is the annual pay rise. It increases your salary and is taken into account for your pension. HM Treasury have set a maximum on this award of </w:t>
      </w:r>
      <w:r w:rsidR="000E39F5" w:rsidRPr="003D4C13">
        <w:rPr>
          <w:rFonts w:ascii="Verdana" w:hAnsi="Verdana"/>
          <w:color w:val="000000"/>
          <w:sz w:val="20"/>
        </w:rPr>
        <w:t xml:space="preserve">2% </w:t>
      </w:r>
      <w:r w:rsidR="009E3E58" w:rsidRPr="003D4C13">
        <w:rPr>
          <w:rFonts w:ascii="Verdana" w:hAnsi="Verdana"/>
          <w:color w:val="000000"/>
          <w:sz w:val="20"/>
        </w:rPr>
        <w:t>of the total Ofgem salary pot. We have decided to pay this to as many people as possible</w:t>
      </w:r>
      <w:r w:rsidR="007F3BEC" w:rsidRPr="003D4C13">
        <w:rPr>
          <w:rFonts w:ascii="Verdana" w:hAnsi="Verdana"/>
          <w:color w:val="000000"/>
          <w:sz w:val="20"/>
        </w:rPr>
        <w:t xml:space="preserve"> so eligible </w:t>
      </w:r>
      <w:r w:rsidR="008B6BA4" w:rsidRPr="003D4C13">
        <w:rPr>
          <w:rFonts w:ascii="Verdana" w:hAnsi="Verdana"/>
          <w:color w:val="000000"/>
          <w:sz w:val="20"/>
        </w:rPr>
        <w:t>employees</w:t>
      </w:r>
      <w:r w:rsidR="007F3BEC" w:rsidRPr="003D4C13">
        <w:rPr>
          <w:rFonts w:ascii="Verdana" w:hAnsi="Verdana"/>
          <w:color w:val="000000"/>
          <w:sz w:val="20"/>
        </w:rPr>
        <w:t xml:space="preserve"> will receive </w:t>
      </w:r>
      <w:r w:rsidR="000E39F5" w:rsidRPr="003D4C13">
        <w:rPr>
          <w:rFonts w:ascii="Verdana" w:hAnsi="Verdana"/>
          <w:color w:val="000000"/>
          <w:sz w:val="20"/>
        </w:rPr>
        <w:t xml:space="preserve">2% </w:t>
      </w:r>
      <w:r w:rsidR="007F3BEC" w:rsidRPr="003D4C13">
        <w:rPr>
          <w:rFonts w:ascii="Verdana" w:hAnsi="Verdana"/>
          <w:color w:val="000000"/>
          <w:sz w:val="20"/>
        </w:rPr>
        <w:t>of their band mid-point</w:t>
      </w:r>
      <w:r w:rsidR="009E3E58" w:rsidRPr="003D4C13">
        <w:rPr>
          <w:rFonts w:ascii="Verdana" w:hAnsi="Verdana"/>
          <w:color w:val="000000"/>
          <w:sz w:val="20"/>
        </w:rPr>
        <w:t>.</w:t>
      </w:r>
    </w:p>
    <w:p w14:paraId="78192FEF" w14:textId="77777777" w:rsidR="003D4C13" w:rsidRPr="003D4C13" w:rsidRDefault="003D4C13" w:rsidP="003D4C13">
      <w:pPr>
        <w:ind w:left="360"/>
        <w:rPr>
          <w:color w:val="000000"/>
          <w:szCs w:val="20"/>
        </w:rPr>
      </w:pPr>
    </w:p>
    <w:p w14:paraId="78192FF0" w14:textId="77777777" w:rsidR="009E3E58" w:rsidRPr="003D4C13" w:rsidRDefault="009E3E58" w:rsidP="003D4C13">
      <w:pPr>
        <w:pStyle w:val="ListParagraph"/>
        <w:numPr>
          <w:ilvl w:val="0"/>
          <w:numId w:val="34"/>
        </w:numPr>
        <w:rPr>
          <w:rFonts w:ascii="Verdana" w:hAnsi="Verdana"/>
          <w:color w:val="000000"/>
          <w:sz w:val="20"/>
        </w:rPr>
      </w:pPr>
      <w:r w:rsidRPr="003D4C13">
        <w:rPr>
          <w:rFonts w:ascii="Verdana" w:hAnsi="Verdana"/>
          <w:b/>
          <w:color w:val="000000"/>
          <w:sz w:val="20"/>
        </w:rPr>
        <w:t>The minimum payment</w:t>
      </w:r>
      <w:r w:rsidRPr="003D4C13">
        <w:rPr>
          <w:rFonts w:ascii="Verdana" w:hAnsi="Verdana"/>
          <w:color w:val="000000"/>
          <w:sz w:val="20"/>
        </w:rPr>
        <w:t xml:space="preserve"> (£600) – for</w:t>
      </w:r>
      <w:r w:rsidR="007F3BEC" w:rsidRPr="003D4C13">
        <w:rPr>
          <w:rFonts w:ascii="Verdana" w:hAnsi="Verdana"/>
          <w:color w:val="000000"/>
          <w:sz w:val="20"/>
        </w:rPr>
        <w:t xml:space="preserve"> eligible</w:t>
      </w:r>
      <w:r w:rsidR="008B6BA4" w:rsidRPr="003D4C13">
        <w:rPr>
          <w:rFonts w:ascii="Verdana" w:hAnsi="Verdana"/>
          <w:color w:val="000000"/>
          <w:sz w:val="20"/>
        </w:rPr>
        <w:t xml:space="preserve"> employees;</w:t>
      </w:r>
      <w:r w:rsidRPr="003D4C13">
        <w:rPr>
          <w:rFonts w:ascii="Verdana" w:hAnsi="Verdana"/>
          <w:color w:val="000000"/>
          <w:sz w:val="20"/>
        </w:rPr>
        <w:t xml:space="preserve"> those wh</w:t>
      </w:r>
      <w:r w:rsidR="008B6BA4" w:rsidRPr="003D4C13">
        <w:rPr>
          <w:rFonts w:ascii="Verdana" w:hAnsi="Verdana"/>
          <w:color w:val="000000"/>
          <w:sz w:val="20"/>
        </w:rPr>
        <w:t>ose consolidated pay award, at 2</w:t>
      </w:r>
      <w:r w:rsidRPr="003D4C13">
        <w:rPr>
          <w:rFonts w:ascii="Verdana" w:hAnsi="Verdana"/>
          <w:color w:val="000000"/>
          <w:sz w:val="20"/>
        </w:rPr>
        <w:t>% of their salary, would fall below £600, we will make up the difference and ensure £600 is paid. This is cons</w:t>
      </w:r>
      <w:r w:rsidR="008B6BA4" w:rsidRPr="003D4C13">
        <w:rPr>
          <w:rFonts w:ascii="Verdana" w:hAnsi="Verdana"/>
          <w:color w:val="000000"/>
          <w:sz w:val="20"/>
        </w:rPr>
        <w:t xml:space="preserve">olidated, subject to pension </w:t>
      </w:r>
      <w:r w:rsidRPr="003D4C13">
        <w:rPr>
          <w:rFonts w:ascii="Verdana" w:hAnsi="Verdana"/>
          <w:color w:val="000000"/>
          <w:sz w:val="20"/>
        </w:rPr>
        <w:t>and will increase your salary.</w:t>
      </w:r>
    </w:p>
    <w:p w14:paraId="78192FF1" w14:textId="77777777" w:rsidR="009E3E58" w:rsidRPr="003D4C13" w:rsidRDefault="009E3E58" w:rsidP="008F0BEA">
      <w:pPr>
        <w:rPr>
          <w:color w:val="000000"/>
          <w:szCs w:val="20"/>
        </w:rPr>
      </w:pPr>
    </w:p>
    <w:p w14:paraId="78192FF2" w14:textId="77777777" w:rsidR="009E3E58" w:rsidRPr="003D4C13" w:rsidRDefault="009E3E58" w:rsidP="003D4C13">
      <w:pPr>
        <w:pStyle w:val="ListParagraph"/>
        <w:numPr>
          <w:ilvl w:val="2"/>
          <w:numId w:val="28"/>
        </w:numPr>
        <w:rPr>
          <w:rFonts w:ascii="Verdana" w:hAnsi="Verdana"/>
          <w:color w:val="000000"/>
          <w:sz w:val="20"/>
        </w:rPr>
      </w:pPr>
      <w:r w:rsidRPr="003D4C13">
        <w:rPr>
          <w:rFonts w:ascii="Verdana" w:hAnsi="Verdana"/>
          <w:b/>
          <w:color w:val="000000"/>
          <w:sz w:val="20"/>
        </w:rPr>
        <w:t>The performance related payment</w:t>
      </w:r>
      <w:r w:rsidRPr="003D4C13">
        <w:rPr>
          <w:rFonts w:ascii="Verdana" w:hAnsi="Verdana"/>
          <w:color w:val="000000"/>
          <w:sz w:val="20"/>
        </w:rPr>
        <w:t xml:space="preserve"> (bonus) – this is based</w:t>
      </w:r>
      <w:r w:rsidR="008B6BA4" w:rsidRPr="003D4C13">
        <w:rPr>
          <w:rFonts w:ascii="Verdana" w:hAnsi="Verdana"/>
          <w:color w:val="000000"/>
          <w:sz w:val="20"/>
        </w:rPr>
        <w:t xml:space="preserve"> on your performance during 2018</w:t>
      </w:r>
      <w:r w:rsidRPr="003D4C13">
        <w:rPr>
          <w:rFonts w:ascii="Verdana" w:hAnsi="Verdana"/>
          <w:color w:val="000000"/>
          <w:sz w:val="20"/>
        </w:rPr>
        <w:t>/1</w:t>
      </w:r>
      <w:r w:rsidR="008B6BA4" w:rsidRPr="003D4C13">
        <w:rPr>
          <w:rFonts w:ascii="Verdana" w:hAnsi="Verdana"/>
          <w:color w:val="000000"/>
          <w:sz w:val="20"/>
        </w:rPr>
        <w:t>9 (this means the performance year starting April 2018 to March 2019)</w:t>
      </w:r>
      <w:r w:rsidRPr="003D4C13">
        <w:rPr>
          <w:rFonts w:ascii="Verdana" w:hAnsi="Verdana"/>
          <w:color w:val="000000"/>
          <w:sz w:val="20"/>
        </w:rPr>
        <w:t xml:space="preserve"> and is based on your box marking at </w:t>
      </w:r>
      <w:r w:rsidR="008B6BA4" w:rsidRPr="003D4C13">
        <w:rPr>
          <w:rFonts w:ascii="Verdana" w:hAnsi="Verdana"/>
          <w:color w:val="000000"/>
          <w:sz w:val="20"/>
        </w:rPr>
        <w:t xml:space="preserve">both Q2 (end of September) and Q4 (end of March) and therefore the </w:t>
      </w:r>
      <w:r w:rsidRPr="003D4C13">
        <w:rPr>
          <w:rFonts w:ascii="Verdana" w:hAnsi="Verdana"/>
          <w:color w:val="000000"/>
          <w:sz w:val="20"/>
        </w:rPr>
        <w:t xml:space="preserve">end of </w:t>
      </w:r>
      <w:r w:rsidR="008B6BA4" w:rsidRPr="003D4C13">
        <w:rPr>
          <w:rFonts w:ascii="Verdana" w:hAnsi="Verdana"/>
          <w:color w:val="000000"/>
          <w:sz w:val="20"/>
        </w:rPr>
        <w:t xml:space="preserve">the performance </w:t>
      </w:r>
      <w:r w:rsidRPr="003D4C13">
        <w:rPr>
          <w:rFonts w:ascii="Verdana" w:hAnsi="Verdana"/>
          <w:color w:val="000000"/>
          <w:sz w:val="20"/>
        </w:rPr>
        <w:t xml:space="preserve">year. It is not consolidated. It does not increase your salary </w:t>
      </w:r>
      <w:r w:rsidR="007F3BEC" w:rsidRPr="003D4C13">
        <w:rPr>
          <w:rFonts w:ascii="Verdana" w:hAnsi="Verdana"/>
          <w:color w:val="000000"/>
          <w:sz w:val="20"/>
        </w:rPr>
        <w:t>or contribute to your pension</w:t>
      </w:r>
      <w:r w:rsidRPr="003D4C13">
        <w:rPr>
          <w:rFonts w:ascii="Verdana" w:hAnsi="Verdana"/>
          <w:color w:val="000000"/>
          <w:sz w:val="20"/>
        </w:rPr>
        <w:t xml:space="preserve">. </w:t>
      </w:r>
      <w:r w:rsidR="008B6BA4" w:rsidRPr="003D4C13">
        <w:rPr>
          <w:rFonts w:ascii="Verdana" w:hAnsi="Verdana"/>
          <w:color w:val="000000"/>
          <w:sz w:val="20"/>
        </w:rPr>
        <w:t xml:space="preserve">(Further details of bonuses are explained later in this notice). </w:t>
      </w:r>
    </w:p>
    <w:p w14:paraId="78192FF3" w14:textId="77777777" w:rsidR="009E3E58" w:rsidRPr="008B6BA4" w:rsidRDefault="009E3E58" w:rsidP="00B95B92">
      <w:pPr>
        <w:rPr>
          <w:b/>
          <w:color w:val="000000"/>
          <w:szCs w:val="20"/>
        </w:rPr>
      </w:pPr>
    </w:p>
    <w:p w14:paraId="78192FF4" w14:textId="77777777" w:rsidR="009E3E58" w:rsidRPr="003D4C13" w:rsidRDefault="003D4C13" w:rsidP="003D4C13">
      <w:pPr>
        <w:pStyle w:val="ListParagraph"/>
        <w:numPr>
          <w:ilvl w:val="0"/>
          <w:numId w:val="28"/>
        </w:numPr>
        <w:rPr>
          <w:rFonts w:ascii="Verdana" w:hAnsi="Verdana"/>
          <w:b/>
          <w:color w:val="000000"/>
          <w:sz w:val="20"/>
          <w:u w:val="single"/>
        </w:rPr>
      </w:pPr>
      <w:r>
        <w:rPr>
          <w:rFonts w:ascii="Verdana" w:hAnsi="Verdana"/>
          <w:b/>
          <w:color w:val="000000"/>
          <w:sz w:val="20"/>
        </w:rPr>
        <w:t xml:space="preserve">     </w:t>
      </w:r>
      <w:r w:rsidRPr="003D4C13">
        <w:rPr>
          <w:rFonts w:ascii="Verdana" w:hAnsi="Verdana"/>
          <w:b/>
          <w:color w:val="000000"/>
          <w:sz w:val="20"/>
          <w:u w:val="single"/>
        </w:rPr>
        <w:t xml:space="preserve">Civil Service Pay Constraints </w:t>
      </w:r>
    </w:p>
    <w:p w14:paraId="78192FF5" w14:textId="77777777" w:rsidR="009E3E58" w:rsidRPr="000E39F5" w:rsidRDefault="009E3E58" w:rsidP="00B95B92">
      <w:pPr>
        <w:rPr>
          <w:b/>
          <w:color w:val="000000"/>
          <w:szCs w:val="20"/>
        </w:rPr>
      </w:pPr>
    </w:p>
    <w:p w14:paraId="78192FF6" w14:textId="77777777" w:rsidR="003D4C13" w:rsidRPr="003D4C13" w:rsidRDefault="003D4C13" w:rsidP="003D4C13">
      <w:pPr>
        <w:pStyle w:val="ListParagraph"/>
        <w:numPr>
          <w:ilvl w:val="1"/>
          <w:numId w:val="28"/>
        </w:numPr>
        <w:rPr>
          <w:rFonts w:ascii="Verdana" w:hAnsi="Verdana"/>
          <w:color w:val="000000"/>
          <w:sz w:val="20"/>
        </w:rPr>
      </w:pPr>
      <w:r w:rsidRPr="003D4C13">
        <w:rPr>
          <w:rFonts w:ascii="Verdana" w:hAnsi="Verdana"/>
          <w:sz w:val="20"/>
        </w:rPr>
        <w:t>The Civil Service 2019 pay remit guidance gives Ofgem the ability to make a pay award to its Bands A-Es of 1% of the pay bill, plus the flexibility to spend up to a further 1%</w:t>
      </w:r>
      <w:r w:rsidR="00500368">
        <w:rPr>
          <w:rFonts w:ascii="Verdana" w:hAnsi="Verdana"/>
          <w:sz w:val="20"/>
        </w:rPr>
        <w:t>.</w:t>
      </w:r>
      <w:r w:rsidRPr="003D4C13">
        <w:rPr>
          <w:rFonts w:ascii="Verdana" w:hAnsi="Verdana"/>
          <w:sz w:val="20"/>
        </w:rPr>
        <w:t xml:space="preserve"> </w:t>
      </w:r>
      <w:r w:rsidR="009E3E58" w:rsidRPr="003D4C13">
        <w:rPr>
          <w:rFonts w:ascii="Verdana" w:hAnsi="Verdana"/>
          <w:color w:val="000000"/>
          <w:sz w:val="20"/>
        </w:rPr>
        <w:t xml:space="preserve">In </w:t>
      </w:r>
      <w:r w:rsidR="00500368">
        <w:rPr>
          <w:rFonts w:ascii="Verdana" w:hAnsi="Verdana"/>
          <w:color w:val="000000"/>
          <w:sz w:val="20"/>
        </w:rPr>
        <w:t>setting this year’s consolidated pay award</w:t>
      </w:r>
      <w:r w:rsidR="009E3E58" w:rsidRPr="003D4C13">
        <w:rPr>
          <w:rFonts w:ascii="Verdana" w:hAnsi="Verdana"/>
          <w:color w:val="000000"/>
          <w:sz w:val="20"/>
        </w:rPr>
        <w:t xml:space="preserve"> Ofgem has had to keep within </w:t>
      </w:r>
      <w:r w:rsidR="00500368">
        <w:rPr>
          <w:rFonts w:ascii="Verdana" w:hAnsi="Verdana"/>
          <w:color w:val="000000"/>
          <w:sz w:val="20"/>
        </w:rPr>
        <w:t>these</w:t>
      </w:r>
      <w:r w:rsidR="009E3E58" w:rsidRPr="003D4C13">
        <w:rPr>
          <w:rFonts w:ascii="Verdana" w:hAnsi="Verdana"/>
          <w:color w:val="000000"/>
          <w:sz w:val="20"/>
        </w:rPr>
        <w:t xml:space="preserve"> rules</w:t>
      </w:r>
      <w:r w:rsidR="00500368">
        <w:rPr>
          <w:rFonts w:ascii="Verdana" w:hAnsi="Verdana"/>
          <w:color w:val="000000"/>
          <w:sz w:val="20"/>
        </w:rPr>
        <w:t>,</w:t>
      </w:r>
      <w:r w:rsidR="009E3E58" w:rsidRPr="003D4C13">
        <w:rPr>
          <w:rFonts w:ascii="Verdana" w:hAnsi="Verdana"/>
          <w:color w:val="000000"/>
          <w:sz w:val="20"/>
        </w:rPr>
        <w:t xml:space="preserve"> applied by C</w:t>
      </w:r>
      <w:r w:rsidR="00500368">
        <w:rPr>
          <w:rFonts w:ascii="Verdana" w:hAnsi="Verdana"/>
          <w:color w:val="000000"/>
          <w:sz w:val="20"/>
        </w:rPr>
        <w:t xml:space="preserve">abinet </w:t>
      </w:r>
      <w:r w:rsidR="009E3E58" w:rsidRPr="003D4C13">
        <w:rPr>
          <w:rFonts w:ascii="Verdana" w:hAnsi="Verdana"/>
          <w:color w:val="000000"/>
          <w:sz w:val="20"/>
        </w:rPr>
        <w:t>O</w:t>
      </w:r>
      <w:r w:rsidR="00500368">
        <w:rPr>
          <w:rFonts w:ascii="Verdana" w:hAnsi="Verdana"/>
          <w:color w:val="000000"/>
          <w:sz w:val="20"/>
        </w:rPr>
        <w:t>ffice</w:t>
      </w:r>
      <w:r w:rsidR="009E3E58" w:rsidRPr="003D4C13">
        <w:rPr>
          <w:rFonts w:ascii="Verdana" w:hAnsi="Verdana"/>
          <w:color w:val="000000"/>
          <w:sz w:val="20"/>
        </w:rPr>
        <w:t xml:space="preserve"> and HM</w:t>
      </w:r>
      <w:r w:rsidR="00500368">
        <w:rPr>
          <w:rFonts w:ascii="Verdana" w:hAnsi="Verdana"/>
          <w:color w:val="000000"/>
          <w:sz w:val="20"/>
        </w:rPr>
        <w:t xml:space="preserve"> </w:t>
      </w:r>
      <w:r w:rsidR="009E3E58" w:rsidRPr="003D4C13">
        <w:rPr>
          <w:rFonts w:ascii="Verdana" w:hAnsi="Verdana"/>
          <w:color w:val="000000"/>
          <w:sz w:val="20"/>
        </w:rPr>
        <w:t>T</w:t>
      </w:r>
      <w:r w:rsidR="00500368">
        <w:rPr>
          <w:rFonts w:ascii="Verdana" w:hAnsi="Verdana"/>
          <w:color w:val="000000"/>
          <w:sz w:val="20"/>
        </w:rPr>
        <w:t>reasury</w:t>
      </w:r>
      <w:r w:rsidR="009E3E58" w:rsidRPr="003D4C13">
        <w:rPr>
          <w:rFonts w:ascii="Verdana" w:hAnsi="Verdana"/>
          <w:color w:val="000000"/>
          <w:sz w:val="20"/>
        </w:rPr>
        <w:t xml:space="preserve">. </w:t>
      </w:r>
    </w:p>
    <w:p w14:paraId="78192FF7" w14:textId="77777777" w:rsidR="003D4C13" w:rsidRPr="003D4C13" w:rsidRDefault="003D4C13" w:rsidP="003D4C13">
      <w:pPr>
        <w:pStyle w:val="ListParagraph"/>
        <w:rPr>
          <w:rFonts w:ascii="Verdana" w:hAnsi="Verdana"/>
          <w:color w:val="000000"/>
          <w:sz w:val="20"/>
        </w:rPr>
      </w:pPr>
    </w:p>
    <w:p w14:paraId="78192FF8" w14:textId="77777777" w:rsidR="003D4C13" w:rsidRPr="003D4C13" w:rsidRDefault="003D4C13" w:rsidP="003D4C13">
      <w:pPr>
        <w:pStyle w:val="ListParagraph"/>
        <w:numPr>
          <w:ilvl w:val="1"/>
          <w:numId w:val="28"/>
        </w:numPr>
        <w:rPr>
          <w:rFonts w:ascii="Verdana" w:hAnsi="Verdana"/>
          <w:color w:val="000000"/>
          <w:sz w:val="20"/>
        </w:rPr>
      </w:pPr>
      <w:r w:rsidRPr="003D4C13">
        <w:rPr>
          <w:rFonts w:ascii="Verdana" w:hAnsi="Verdana"/>
          <w:sz w:val="20"/>
        </w:rPr>
        <w:t xml:space="preserve">Against the backdrop of continued Government pay restraint, and taking into account real wage growth and what we can afford, we have agreed to award the maximum increase for all grades allowed by the pay remit guidance. </w:t>
      </w:r>
    </w:p>
    <w:p w14:paraId="78192FF9" w14:textId="77777777" w:rsidR="003D4C13" w:rsidRPr="003D4C13" w:rsidRDefault="003D4C13" w:rsidP="003D4C13">
      <w:pPr>
        <w:pStyle w:val="ListParagraph"/>
        <w:rPr>
          <w:rFonts w:ascii="Verdana" w:hAnsi="Verdana"/>
          <w:color w:val="000000"/>
          <w:sz w:val="20"/>
        </w:rPr>
      </w:pPr>
    </w:p>
    <w:p w14:paraId="78192FFA" w14:textId="77777777" w:rsidR="003D4C13" w:rsidRPr="003D4C13" w:rsidRDefault="003D4C13" w:rsidP="003D4C13">
      <w:pPr>
        <w:pStyle w:val="ListParagraph"/>
        <w:numPr>
          <w:ilvl w:val="1"/>
          <w:numId w:val="28"/>
        </w:numPr>
        <w:rPr>
          <w:rFonts w:ascii="Verdana" w:hAnsi="Verdana"/>
          <w:color w:val="000000"/>
          <w:sz w:val="20"/>
        </w:rPr>
      </w:pPr>
      <w:r w:rsidRPr="003D4C13">
        <w:rPr>
          <w:rFonts w:ascii="Verdana" w:hAnsi="Verdana"/>
          <w:color w:val="000000"/>
          <w:sz w:val="20"/>
        </w:rPr>
        <w:t xml:space="preserve">This means that </w:t>
      </w:r>
    </w:p>
    <w:p w14:paraId="78192FFB" w14:textId="77777777" w:rsidR="009E3E58" w:rsidRPr="003D4C13" w:rsidRDefault="009E3E58" w:rsidP="00B95B92">
      <w:pPr>
        <w:pStyle w:val="ListParagraph"/>
        <w:numPr>
          <w:ilvl w:val="0"/>
          <w:numId w:val="29"/>
        </w:numPr>
        <w:rPr>
          <w:rFonts w:ascii="Verdana" w:hAnsi="Verdana"/>
          <w:color w:val="000000"/>
          <w:sz w:val="20"/>
        </w:rPr>
      </w:pPr>
      <w:r w:rsidRPr="003D4C13">
        <w:rPr>
          <w:rFonts w:ascii="Verdana" w:hAnsi="Verdana"/>
          <w:color w:val="000000"/>
          <w:sz w:val="20"/>
        </w:rPr>
        <w:t xml:space="preserve">The total amount of pay award for Ofgem cannot exceed </w:t>
      </w:r>
      <w:r w:rsidR="003D4C13">
        <w:rPr>
          <w:rFonts w:ascii="Verdana" w:hAnsi="Verdana"/>
          <w:color w:val="000000"/>
          <w:sz w:val="20"/>
        </w:rPr>
        <w:t>2</w:t>
      </w:r>
      <w:r w:rsidRPr="003D4C13">
        <w:rPr>
          <w:rFonts w:ascii="Verdana" w:hAnsi="Verdana"/>
          <w:color w:val="000000"/>
          <w:sz w:val="20"/>
        </w:rPr>
        <w:t>%</w:t>
      </w:r>
      <w:r w:rsidR="003D4C13">
        <w:rPr>
          <w:rFonts w:ascii="Verdana" w:hAnsi="Verdana"/>
          <w:color w:val="000000"/>
          <w:sz w:val="20"/>
        </w:rPr>
        <w:t xml:space="preserve"> and is based on the total pay bill on 31/3/19.</w:t>
      </w:r>
    </w:p>
    <w:p w14:paraId="78192FFC" w14:textId="77777777" w:rsidR="009E3E58" w:rsidRPr="003D4C13" w:rsidRDefault="009E3E58" w:rsidP="008B6BA4">
      <w:pPr>
        <w:pStyle w:val="ListParagraph"/>
        <w:numPr>
          <w:ilvl w:val="0"/>
          <w:numId w:val="29"/>
        </w:numPr>
        <w:rPr>
          <w:rFonts w:ascii="Verdana" w:hAnsi="Verdana"/>
          <w:color w:val="000000"/>
          <w:sz w:val="20"/>
        </w:rPr>
      </w:pPr>
      <w:r w:rsidRPr="003D4C13">
        <w:rPr>
          <w:rFonts w:ascii="Verdana" w:hAnsi="Verdana"/>
          <w:color w:val="000000"/>
          <w:sz w:val="20"/>
        </w:rPr>
        <w:t>The total amount of the performance related payments for Ofgem cannot exceed 2.1% of our total pay bill on 31/3/1</w:t>
      </w:r>
      <w:r w:rsidR="003D4C13">
        <w:rPr>
          <w:rFonts w:ascii="Verdana" w:hAnsi="Verdana"/>
          <w:color w:val="000000"/>
          <w:sz w:val="20"/>
        </w:rPr>
        <w:t>9</w:t>
      </w:r>
      <w:r w:rsidR="00B95B92" w:rsidRPr="003D4C13">
        <w:rPr>
          <w:rFonts w:ascii="Verdana" w:hAnsi="Verdana"/>
          <w:color w:val="000000"/>
          <w:sz w:val="20"/>
        </w:rPr>
        <w:t>.</w:t>
      </w:r>
      <w:r w:rsidR="008B6BA4" w:rsidRPr="003D4C13">
        <w:rPr>
          <w:rFonts w:ascii="Verdana" w:hAnsi="Verdana"/>
          <w:sz w:val="20"/>
        </w:rPr>
        <w:t xml:space="preserve"> </w:t>
      </w:r>
    </w:p>
    <w:p w14:paraId="78192FFD" w14:textId="77777777" w:rsidR="009E3E58" w:rsidRPr="000E39F5" w:rsidRDefault="009E3E58" w:rsidP="00B95B92">
      <w:pPr>
        <w:rPr>
          <w:b/>
          <w:color w:val="000000"/>
          <w:szCs w:val="20"/>
        </w:rPr>
      </w:pPr>
    </w:p>
    <w:p w14:paraId="78192FFE" w14:textId="77777777" w:rsidR="008F0BEA" w:rsidRDefault="008F0BEA" w:rsidP="00B95B92">
      <w:pPr>
        <w:rPr>
          <w:b/>
          <w:color w:val="000000"/>
          <w:szCs w:val="20"/>
        </w:rPr>
      </w:pPr>
    </w:p>
    <w:p w14:paraId="78192FFF" w14:textId="77777777" w:rsidR="005C780B" w:rsidRDefault="005C780B" w:rsidP="00B95B92">
      <w:pPr>
        <w:rPr>
          <w:b/>
          <w:color w:val="000000"/>
          <w:szCs w:val="20"/>
        </w:rPr>
      </w:pPr>
    </w:p>
    <w:p w14:paraId="78193000" w14:textId="77777777" w:rsidR="005C780B" w:rsidRPr="000E39F5" w:rsidRDefault="005C780B" w:rsidP="00B95B92">
      <w:pPr>
        <w:rPr>
          <w:b/>
          <w:color w:val="000000"/>
          <w:szCs w:val="20"/>
        </w:rPr>
      </w:pPr>
    </w:p>
    <w:p w14:paraId="78193001" w14:textId="77777777" w:rsidR="005F207B" w:rsidRPr="005F207B" w:rsidRDefault="005F207B" w:rsidP="005F207B">
      <w:pPr>
        <w:pStyle w:val="ListParagraph"/>
        <w:numPr>
          <w:ilvl w:val="0"/>
          <w:numId w:val="28"/>
        </w:numPr>
        <w:rPr>
          <w:rFonts w:ascii="Verdana" w:hAnsi="Verdana"/>
          <w:b/>
          <w:color w:val="000000"/>
          <w:sz w:val="20"/>
          <w:u w:val="single"/>
        </w:rPr>
      </w:pPr>
      <w:r>
        <w:rPr>
          <w:b/>
          <w:color w:val="000000"/>
        </w:rPr>
        <w:t xml:space="preserve">     </w:t>
      </w:r>
      <w:r w:rsidR="00B95B92" w:rsidRPr="005F207B">
        <w:rPr>
          <w:rFonts w:ascii="Verdana" w:hAnsi="Verdana"/>
          <w:b/>
          <w:color w:val="000000"/>
          <w:sz w:val="20"/>
          <w:u w:val="single"/>
        </w:rPr>
        <w:t>The pay award</w:t>
      </w:r>
    </w:p>
    <w:p w14:paraId="78193002" w14:textId="77777777" w:rsidR="005F207B" w:rsidRDefault="005F207B" w:rsidP="005F207B">
      <w:pPr>
        <w:rPr>
          <w:b/>
          <w:color w:val="000000"/>
          <w:u w:val="single"/>
        </w:rPr>
      </w:pPr>
    </w:p>
    <w:p w14:paraId="78193003" w14:textId="77777777" w:rsidR="00787646" w:rsidRPr="00DE167E" w:rsidRDefault="00787646" w:rsidP="005F207B">
      <w:pPr>
        <w:pStyle w:val="ListParagraph"/>
        <w:numPr>
          <w:ilvl w:val="1"/>
          <w:numId w:val="28"/>
        </w:numPr>
        <w:rPr>
          <w:rFonts w:ascii="Verdana" w:hAnsi="Verdana"/>
          <w:b/>
          <w:color w:val="000000"/>
          <w:sz w:val="20"/>
          <w:u w:val="single"/>
        </w:rPr>
      </w:pPr>
      <w:r w:rsidRPr="00DE167E">
        <w:rPr>
          <w:rFonts w:ascii="Verdana" w:hAnsi="Verdana"/>
          <w:sz w:val="20"/>
        </w:rPr>
        <w:t xml:space="preserve">The award provides a consolidated pay increase of </w:t>
      </w:r>
      <w:r w:rsidR="005F207B" w:rsidRPr="00DE167E">
        <w:rPr>
          <w:rFonts w:ascii="Verdana" w:hAnsi="Verdana"/>
          <w:sz w:val="20"/>
        </w:rPr>
        <w:t>2</w:t>
      </w:r>
      <w:r w:rsidR="00D56F15" w:rsidRPr="00DE167E">
        <w:rPr>
          <w:rFonts w:ascii="Verdana" w:hAnsi="Verdana"/>
          <w:sz w:val="20"/>
        </w:rPr>
        <w:t xml:space="preserve">% </w:t>
      </w:r>
      <w:r w:rsidRPr="00DE167E">
        <w:rPr>
          <w:rFonts w:ascii="Verdana" w:hAnsi="Verdana"/>
          <w:sz w:val="20"/>
        </w:rPr>
        <w:t xml:space="preserve">on the mid points of each pay band for </w:t>
      </w:r>
      <w:r w:rsidR="003B2166" w:rsidRPr="00DE167E">
        <w:rPr>
          <w:rFonts w:ascii="Verdana" w:hAnsi="Verdana"/>
          <w:sz w:val="20"/>
        </w:rPr>
        <w:t xml:space="preserve">all eligible </w:t>
      </w:r>
      <w:r w:rsidRPr="00DE167E">
        <w:rPr>
          <w:rFonts w:ascii="Verdana" w:hAnsi="Verdana"/>
          <w:sz w:val="20"/>
        </w:rPr>
        <w:t>employees</w:t>
      </w:r>
      <w:r w:rsidR="00164C85" w:rsidRPr="00DE167E">
        <w:rPr>
          <w:rFonts w:ascii="Verdana" w:hAnsi="Verdana"/>
          <w:sz w:val="20"/>
        </w:rPr>
        <w:t xml:space="preserve">, </w:t>
      </w:r>
      <w:r w:rsidR="003B2166" w:rsidRPr="00DE167E">
        <w:rPr>
          <w:rFonts w:ascii="Verdana" w:hAnsi="Verdana"/>
          <w:sz w:val="20"/>
        </w:rPr>
        <w:t>except those in formal under-perfo</w:t>
      </w:r>
      <w:r w:rsidR="006B1B33" w:rsidRPr="00DE167E">
        <w:rPr>
          <w:rFonts w:ascii="Verdana" w:hAnsi="Verdana"/>
          <w:sz w:val="20"/>
        </w:rPr>
        <w:t>r</w:t>
      </w:r>
      <w:r w:rsidR="003B2166" w:rsidRPr="00DE167E">
        <w:rPr>
          <w:rFonts w:ascii="Verdana" w:hAnsi="Verdana"/>
          <w:sz w:val="20"/>
        </w:rPr>
        <w:t>mance</w:t>
      </w:r>
      <w:r w:rsidRPr="00DE167E">
        <w:rPr>
          <w:rFonts w:ascii="Verdana" w:hAnsi="Verdana"/>
          <w:sz w:val="20"/>
        </w:rPr>
        <w:t xml:space="preserve"> under the </w:t>
      </w:r>
      <w:r w:rsidR="00D541A0">
        <w:rPr>
          <w:rFonts w:ascii="Verdana" w:hAnsi="Verdana"/>
          <w:sz w:val="20"/>
        </w:rPr>
        <w:t>p</w:t>
      </w:r>
      <w:r w:rsidRPr="00DE167E">
        <w:rPr>
          <w:rFonts w:ascii="Verdana" w:hAnsi="Verdana"/>
          <w:sz w:val="20"/>
        </w:rPr>
        <w:t xml:space="preserve">erformance </w:t>
      </w:r>
      <w:r w:rsidR="00D541A0">
        <w:rPr>
          <w:rFonts w:ascii="Verdana" w:hAnsi="Verdana"/>
          <w:sz w:val="20"/>
        </w:rPr>
        <w:t>m</w:t>
      </w:r>
      <w:r w:rsidRPr="00DE167E">
        <w:rPr>
          <w:rFonts w:ascii="Verdana" w:hAnsi="Verdana"/>
          <w:sz w:val="20"/>
        </w:rPr>
        <w:t xml:space="preserve">anagement </w:t>
      </w:r>
      <w:r w:rsidR="00D541A0">
        <w:rPr>
          <w:rFonts w:ascii="Verdana" w:hAnsi="Verdana"/>
          <w:sz w:val="20"/>
        </w:rPr>
        <w:t>f</w:t>
      </w:r>
      <w:r w:rsidRPr="00DE167E">
        <w:rPr>
          <w:rFonts w:ascii="Verdana" w:hAnsi="Verdana"/>
          <w:sz w:val="20"/>
        </w:rPr>
        <w:t xml:space="preserve">ramework. Please note that employees lower down the pay range will receive a proportionately higher percentage increase than those employees higher in the pay range. </w:t>
      </w:r>
    </w:p>
    <w:p w14:paraId="78193004" w14:textId="77777777" w:rsidR="00787646" w:rsidRPr="00DE167E" w:rsidRDefault="00787646" w:rsidP="00B95B92">
      <w:pPr>
        <w:jc w:val="both"/>
        <w:rPr>
          <w:szCs w:val="20"/>
        </w:rPr>
      </w:pPr>
    </w:p>
    <w:p w14:paraId="78193005" w14:textId="77777777" w:rsidR="00DE167E" w:rsidRPr="00DE167E" w:rsidRDefault="00787646" w:rsidP="00DE167E">
      <w:pPr>
        <w:pStyle w:val="ListParagraph"/>
        <w:numPr>
          <w:ilvl w:val="1"/>
          <w:numId w:val="28"/>
        </w:numPr>
        <w:rPr>
          <w:rFonts w:ascii="Verdana" w:hAnsi="Verdana"/>
          <w:sz w:val="20"/>
        </w:rPr>
      </w:pPr>
      <w:r w:rsidRPr="00DE167E">
        <w:rPr>
          <w:rFonts w:ascii="Verdana" w:hAnsi="Verdana"/>
          <w:sz w:val="20"/>
        </w:rPr>
        <w:t>This award will be effective from 1 April 201</w:t>
      </w:r>
      <w:r w:rsidR="005F207B" w:rsidRPr="00DE167E">
        <w:rPr>
          <w:rFonts w:ascii="Verdana" w:hAnsi="Verdana"/>
          <w:sz w:val="20"/>
        </w:rPr>
        <w:t xml:space="preserve">9 and will be back-dated and this will be reflected in your October salary. </w:t>
      </w:r>
    </w:p>
    <w:p w14:paraId="78193006" w14:textId="77777777" w:rsidR="00DE167E" w:rsidRPr="00DE167E" w:rsidRDefault="00DE167E" w:rsidP="00DE167E">
      <w:pPr>
        <w:pStyle w:val="ListParagraph"/>
        <w:rPr>
          <w:rFonts w:ascii="Verdana" w:hAnsi="Verdana"/>
          <w:sz w:val="20"/>
        </w:rPr>
      </w:pPr>
    </w:p>
    <w:p w14:paraId="78193007" w14:textId="77777777" w:rsidR="00787646" w:rsidRPr="00DE167E" w:rsidRDefault="00787646" w:rsidP="00DE167E">
      <w:pPr>
        <w:pStyle w:val="ListParagraph"/>
        <w:numPr>
          <w:ilvl w:val="1"/>
          <w:numId w:val="28"/>
        </w:numPr>
        <w:rPr>
          <w:rFonts w:ascii="Verdana" w:hAnsi="Verdana"/>
          <w:sz w:val="20"/>
        </w:rPr>
      </w:pPr>
      <w:r w:rsidRPr="00DE167E">
        <w:rPr>
          <w:rFonts w:ascii="Verdana" w:hAnsi="Verdana"/>
          <w:sz w:val="20"/>
        </w:rPr>
        <w:t>For 201</w:t>
      </w:r>
      <w:r w:rsidR="005F207B" w:rsidRPr="00DE167E">
        <w:rPr>
          <w:rFonts w:ascii="Verdana" w:hAnsi="Verdana"/>
          <w:sz w:val="20"/>
        </w:rPr>
        <w:t>9</w:t>
      </w:r>
      <w:r w:rsidR="00AF3C4E" w:rsidRPr="00DE167E">
        <w:rPr>
          <w:rFonts w:ascii="Verdana" w:hAnsi="Verdana"/>
          <w:sz w:val="20"/>
        </w:rPr>
        <w:t xml:space="preserve">, </w:t>
      </w:r>
      <w:r w:rsidRPr="00DE167E">
        <w:rPr>
          <w:rFonts w:ascii="Verdana" w:hAnsi="Verdana"/>
          <w:sz w:val="20"/>
        </w:rPr>
        <w:t xml:space="preserve">this means a consolidated pay increase for </w:t>
      </w:r>
      <w:r w:rsidR="00DE167E">
        <w:rPr>
          <w:rFonts w:ascii="Verdana" w:hAnsi="Verdana"/>
          <w:sz w:val="20"/>
        </w:rPr>
        <w:t xml:space="preserve">eligible </w:t>
      </w:r>
      <w:r w:rsidRPr="00DE167E">
        <w:rPr>
          <w:rFonts w:ascii="Verdana" w:hAnsi="Verdana"/>
          <w:sz w:val="20"/>
        </w:rPr>
        <w:t xml:space="preserve">employees as shown below. </w:t>
      </w:r>
      <w:r w:rsidR="00B95B92" w:rsidRPr="00DE167E">
        <w:rPr>
          <w:rFonts w:ascii="Verdana" w:hAnsi="Verdana"/>
          <w:sz w:val="20"/>
        </w:rPr>
        <w:t>W</w:t>
      </w:r>
      <w:r w:rsidR="008964CE" w:rsidRPr="00DE167E">
        <w:rPr>
          <w:rFonts w:ascii="Verdana" w:hAnsi="Verdana"/>
          <w:sz w:val="20"/>
        </w:rPr>
        <w:t>e are applying a minimum increase of £</w:t>
      </w:r>
      <w:r w:rsidR="00164C85" w:rsidRPr="00DE167E">
        <w:rPr>
          <w:rFonts w:ascii="Verdana" w:hAnsi="Verdana"/>
          <w:sz w:val="20"/>
        </w:rPr>
        <w:t>6</w:t>
      </w:r>
      <w:r w:rsidR="008964CE" w:rsidRPr="00DE167E">
        <w:rPr>
          <w:rFonts w:ascii="Verdana" w:hAnsi="Verdana"/>
          <w:sz w:val="20"/>
        </w:rPr>
        <w:t>00</w:t>
      </w:r>
      <w:r w:rsidR="005F207B" w:rsidRPr="00DE167E">
        <w:rPr>
          <w:rFonts w:ascii="Verdana" w:hAnsi="Verdana"/>
          <w:sz w:val="20"/>
        </w:rPr>
        <w:t xml:space="preserve"> for 2019</w:t>
      </w:r>
      <w:r w:rsidR="008964CE" w:rsidRPr="00DE167E">
        <w:rPr>
          <w:rFonts w:ascii="Verdana" w:hAnsi="Verdana"/>
          <w:sz w:val="20"/>
        </w:rPr>
        <w:t>.</w:t>
      </w:r>
    </w:p>
    <w:p w14:paraId="78193008" w14:textId="77777777" w:rsidR="00787646" w:rsidRPr="00DE167E" w:rsidRDefault="00787646" w:rsidP="00B95B92">
      <w:pPr>
        <w:ind w:left="360"/>
        <w:jc w:val="both"/>
        <w:rPr>
          <w:szCs w:val="20"/>
        </w:rPr>
      </w:pPr>
    </w:p>
    <w:p w14:paraId="78193009" w14:textId="77777777" w:rsidR="00787646" w:rsidRPr="00DE167E" w:rsidRDefault="00787646" w:rsidP="00B95B92">
      <w:pPr>
        <w:ind w:left="491"/>
        <w:jc w:val="both"/>
        <w:rPr>
          <w:szCs w:val="20"/>
        </w:rPr>
      </w:pPr>
    </w:p>
    <w:tbl>
      <w:tblPr>
        <w:tblW w:w="9020" w:type="dxa"/>
        <w:jc w:val="center"/>
        <w:tblLook w:val="04A0" w:firstRow="1" w:lastRow="0" w:firstColumn="1" w:lastColumn="0" w:noHBand="0" w:noVBand="1"/>
      </w:tblPr>
      <w:tblGrid>
        <w:gridCol w:w="1386"/>
        <w:gridCol w:w="1487"/>
        <w:gridCol w:w="1487"/>
        <w:gridCol w:w="300"/>
        <w:gridCol w:w="1386"/>
        <w:gridCol w:w="1487"/>
        <w:gridCol w:w="1487"/>
      </w:tblGrid>
      <w:tr w:rsidR="0050254F" w:rsidRPr="00DE167E" w14:paraId="7819300F" w14:textId="77777777" w:rsidTr="00B95B92">
        <w:trPr>
          <w:trHeight w:val="255"/>
          <w:jc w:val="center"/>
        </w:trPr>
        <w:tc>
          <w:tcPr>
            <w:tcW w:w="2873" w:type="dxa"/>
            <w:gridSpan w:val="2"/>
            <w:tcBorders>
              <w:top w:val="nil"/>
              <w:left w:val="nil"/>
              <w:bottom w:val="nil"/>
              <w:right w:val="nil"/>
            </w:tcBorders>
            <w:shd w:val="clear" w:color="auto" w:fill="auto"/>
            <w:noWrap/>
            <w:vAlign w:val="center"/>
            <w:hideMark/>
          </w:tcPr>
          <w:p w14:paraId="7819300A" w14:textId="77777777" w:rsidR="0050254F" w:rsidRPr="00DE167E" w:rsidRDefault="0050254F" w:rsidP="00B95B92">
            <w:pPr>
              <w:ind w:left="360"/>
              <w:rPr>
                <w:i/>
                <w:iCs/>
                <w:color w:val="000000"/>
                <w:szCs w:val="20"/>
                <w:u w:val="single"/>
              </w:rPr>
            </w:pPr>
            <w:r w:rsidRPr="00DE167E">
              <w:rPr>
                <w:i/>
                <w:iCs/>
                <w:color w:val="000000"/>
                <w:szCs w:val="20"/>
                <w:u w:val="single"/>
              </w:rPr>
              <w:t>London</w:t>
            </w:r>
          </w:p>
        </w:tc>
        <w:tc>
          <w:tcPr>
            <w:tcW w:w="1487" w:type="dxa"/>
            <w:tcBorders>
              <w:top w:val="nil"/>
              <w:left w:val="nil"/>
              <w:bottom w:val="nil"/>
              <w:right w:val="nil"/>
            </w:tcBorders>
            <w:shd w:val="clear" w:color="auto" w:fill="auto"/>
            <w:noWrap/>
            <w:vAlign w:val="bottom"/>
            <w:hideMark/>
          </w:tcPr>
          <w:p w14:paraId="7819300B" w14:textId="77777777" w:rsidR="0050254F" w:rsidRPr="00DE167E" w:rsidRDefault="0050254F" w:rsidP="00B95B92">
            <w:pPr>
              <w:ind w:left="360"/>
              <w:rPr>
                <w:i/>
                <w:iCs/>
                <w:color w:val="000000"/>
                <w:szCs w:val="20"/>
                <w:u w:val="single"/>
              </w:rPr>
            </w:pPr>
          </w:p>
        </w:tc>
        <w:tc>
          <w:tcPr>
            <w:tcW w:w="300" w:type="dxa"/>
            <w:tcBorders>
              <w:top w:val="nil"/>
              <w:left w:val="nil"/>
              <w:bottom w:val="nil"/>
              <w:right w:val="nil"/>
            </w:tcBorders>
            <w:shd w:val="clear" w:color="auto" w:fill="auto"/>
            <w:noWrap/>
            <w:vAlign w:val="bottom"/>
            <w:hideMark/>
          </w:tcPr>
          <w:p w14:paraId="7819300C" w14:textId="77777777" w:rsidR="0050254F" w:rsidRPr="00DE167E" w:rsidRDefault="0050254F" w:rsidP="00B95B92">
            <w:pPr>
              <w:ind w:left="360"/>
              <w:rPr>
                <w:szCs w:val="20"/>
              </w:rPr>
            </w:pPr>
          </w:p>
        </w:tc>
        <w:tc>
          <w:tcPr>
            <w:tcW w:w="2873" w:type="dxa"/>
            <w:gridSpan w:val="2"/>
            <w:tcBorders>
              <w:top w:val="nil"/>
              <w:left w:val="nil"/>
              <w:bottom w:val="nil"/>
              <w:right w:val="nil"/>
            </w:tcBorders>
            <w:shd w:val="clear" w:color="auto" w:fill="auto"/>
            <w:noWrap/>
            <w:vAlign w:val="center"/>
            <w:hideMark/>
          </w:tcPr>
          <w:p w14:paraId="7819300D" w14:textId="77777777" w:rsidR="0050254F" w:rsidRPr="00DE167E" w:rsidRDefault="0050254F" w:rsidP="00B95B92">
            <w:pPr>
              <w:ind w:left="360"/>
              <w:rPr>
                <w:i/>
                <w:iCs/>
                <w:color w:val="000000"/>
                <w:szCs w:val="20"/>
                <w:u w:val="single"/>
              </w:rPr>
            </w:pPr>
            <w:r w:rsidRPr="00DE167E">
              <w:rPr>
                <w:i/>
                <w:iCs/>
                <w:color w:val="000000"/>
                <w:szCs w:val="20"/>
                <w:u w:val="single"/>
              </w:rPr>
              <w:t xml:space="preserve">National </w:t>
            </w:r>
          </w:p>
        </w:tc>
        <w:tc>
          <w:tcPr>
            <w:tcW w:w="1487" w:type="dxa"/>
            <w:tcBorders>
              <w:top w:val="nil"/>
              <w:left w:val="nil"/>
              <w:bottom w:val="nil"/>
              <w:right w:val="nil"/>
            </w:tcBorders>
            <w:shd w:val="clear" w:color="auto" w:fill="auto"/>
            <w:noWrap/>
            <w:vAlign w:val="bottom"/>
            <w:hideMark/>
          </w:tcPr>
          <w:p w14:paraId="7819300E" w14:textId="77777777" w:rsidR="0050254F" w:rsidRPr="00DE167E" w:rsidRDefault="0050254F" w:rsidP="00B95B92">
            <w:pPr>
              <w:ind w:left="360"/>
              <w:rPr>
                <w:i/>
                <w:iCs/>
                <w:color w:val="000000"/>
                <w:szCs w:val="20"/>
                <w:u w:val="single"/>
              </w:rPr>
            </w:pPr>
          </w:p>
        </w:tc>
      </w:tr>
      <w:tr w:rsidR="0050254F" w:rsidRPr="00DE167E" w14:paraId="78193017" w14:textId="77777777" w:rsidTr="00B95B92">
        <w:trPr>
          <w:trHeight w:val="533"/>
          <w:jc w:val="center"/>
        </w:trPr>
        <w:tc>
          <w:tcPr>
            <w:tcW w:w="1386" w:type="dxa"/>
            <w:tcBorders>
              <w:top w:val="nil"/>
              <w:left w:val="nil"/>
              <w:bottom w:val="single" w:sz="8" w:space="0" w:color="auto"/>
              <w:right w:val="nil"/>
            </w:tcBorders>
            <w:shd w:val="clear" w:color="auto" w:fill="auto"/>
            <w:vAlign w:val="center"/>
            <w:hideMark/>
          </w:tcPr>
          <w:p w14:paraId="78193010" w14:textId="77777777" w:rsidR="0050254F" w:rsidRPr="00DE167E" w:rsidRDefault="0050254F" w:rsidP="00B95B92">
            <w:pPr>
              <w:ind w:left="360"/>
              <w:jc w:val="center"/>
              <w:rPr>
                <w:b/>
                <w:bCs/>
                <w:color w:val="000000"/>
                <w:szCs w:val="20"/>
              </w:rPr>
            </w:pPr>
            <w:r w:rsidRPr="00DE167E">
              <w:rPr>
                <w:b/>
                <w:bCs/>
                <w:color w:val="000000"/>
                <w:szCs w:val="20"/>
              </w:rPr>
              <w:t>Band</w:t>
            </w:r>
          </w:p>
        </w:tc>
        <w:tc>
          <w:tcPr>
            <w:tcW w:w="1487" w:type="dxa"/>
            <w:tcBorders>
              <w:top w:val="nil"/>
              <w:left w:val="nil"/>
              <w:bottom w:val="single" w:sz="8" w:space="0" w:color="auto"/>
              <w:right w:val="nil"/>
            </w:tcBorders>
            <w:shd w:val="clear" w:color="auto" w:fill="auto"/>
            <w:vAlign w:val="center"/>
            <w:hideMark/>
          </w:tcPr>
          <w:p w14:paraId="78193011" w14:textId="77777777" w:rsidR="0050254F" w:rsidRPr="00DE167E" w:rsidRDefault="005F207B" w:rsidP="005F207B">
            <w:pPr>
              <w:ind w:left="360"/>
              <w:jc w:val="center"/>
              <w:rPr>
                <w:b/>
                <w:bCs/>
                <w:color w:val="000000"/>
                <w:szCs w:val="20"/>
              </w:rPr>
            </w:pPr>
            <w:r w:rsidRPr="00DE167E">
              <w:rPr>
                <w:b/>
                <w:bCs/>
                <w:color w:val="000000"/>
                <w:szCs w:val="20"/>
              </w:rPr>
              <w:t>2</w:t>
            </w:r>
            <w:r w:rsidR="0050254F" w:rsidRPr="00DE167E">
              <w:rPr>
                <w:b/>
                <w:bCs/>
                <w:color w:val="000000"/>
                <w:szCs w:val="20"/>
              </w:rPr>
              <w:t>% Award</w:t>
            </w:r>
          </w:p>
        </w:tc>
        <w:tc>
          <w:tcPr>
            <w:tcW w:w="1487" w:type="dxa"/>
            <w:tcBorders>
              <w:top w:val="nil"/>
              <w:left w:val="nil"/>
              <w:bottom w:val="single" w:sz="8" w:space="0" w:color="auto"/>
              <w:right w:val="nil"/>
            </w:tcBorders>
            <w:shd w:val="clear" w:color="auto" w:fill="auto"/>
            <w:vAlign w:val="center"/>
            <w:hideMark/>
          </w:tcPr>
          <w:p w14:paraId="78193012" w14:textId="77777777" w:rsidR="0050254F" w:rsidRPr="00DE167E" w:rsidRDefault="0050254F" w:rsidP="00B95B92">
            <w:pPr>
              <w:ind w:left="360"/>
              <w:jc w:val="center"/>
              <w:rPr>
                <w:b/>
                <w:bCs/>
                <w:color w:val="000000"/>
                <w:szCs w:val="20"/>
              </w:rPr>
            </w:pPr>
            <w:r w:rsidRPr="00DE167E">
              <w:rPr>
                <w:b/>
                <w:bCs/>
                <w:color w:val="000000"/>
                <w:szCs w:val="20"/>
              </w:rPr>
              <w:t>Actual Paid</w:t>
            </w:r>
          </w:p>
        </w:tc>
        <w:tc>
          <w:tcPr>
            <w:tcW w:w="300" w:type="dxa"/>
            <w:tcBorders>
              <w:top w:val="nil"/>
              <w:left w:val="nil"/>
              <w:bottom w:val="nil"/>
              <w:right w:val="nil"/>
            </w:tcBorders>
            <w:shd w:val="clear" w:color="auto" w:fill="auto"/>
            <w:noWrap/>
            <w:vAlign w:val="bottom"/>
            <w:hideMark/>
          </w:tcPr>
          <w:p w14:paraId="78193013" w14:textId="77777777" w:rsidR="0050254F" w:rsidRPr="00DE167E" w:rsidRDefault="0050254F" w:rsidP="00B95B92">
            <w:pPr>
              <w:ind w:left="360"/>
              <w:jc w:val="center"/>
              <w:rPr>
                <w:b/>
                <w:bCs/>
                <w:color w:val="000000"/>
                <w:szCs w:val="20"/>
              </w:rPr>
            </w:pPr>
          </w:p>
        </w:tc>
        <w:tc>
          <w:tcPr>
            <w:tcW w:w="1386" w:type="dxa"/>
            <w:tcBorders>
              <w:top w:val="nil"/>
              <w:left w:val="nil"/>
              <w:bottom w:val="single" w:sz="8" w:space="0" w:color="auto"/>
              <w:right w:val="nil"/>
            </w:tcBorders>
            <w:shd w:val="clear" w:color="auto" w:fill="auto"/>
            <w:vAlign w:val="center"/>
            <w:hideMark/>
          </w:tcPr>
          <w:p w14:paraId="78193014" w14:textId="77777777" w:rsidR="0050254F" w:rsidRPr="00DE167E" w:rsidRDefault="0050254F" w:rsidP="00B95B92">
            <w:pPr>
              <w:ind w:left="360"/>
              <w:jc w:val="center"/>
              <w:rPr>
                <w:b/>
                <w:bCs/>
                <w:color w:val="000000"/>
                <w:szCs w:val="20"/>
              </w:rPr>
            </w:pPr>
            <w:r w:rsidRPr="00DE167E">
              <w:rPr>
                <w:b/>
                <w:bCs/>
                <w:color w:val="000000"/>
                <w:szCs w:val="20"/>
              </w:rPr>
              <w:t>Band</w:t>
            </w:r>
          </w:p>
        </w:tc>
        <w:tc>
          <w:tcPr>
            <w:tcW w:w="1487" w:type="dxa"/>
            <w:tcBorders>
              <w:top w:val="nil"/>
              <w:left w:val="nil"/>
              <w:bottom w:val="single" w:sz="8" w:space="0" w:color="auto"/>
              <w:right w:val="nil"/>
            </w:tcBorders>
            <w:shd w:val="clear" w:color="auto" w:fill="auto"/>
            <w:vAlign w:val="center"/>
            <w:hideMark/>
          </w:tcPr>
          <w:p w14:paraId="78193015" w14:textId="77777777" w:rsidR="0050254F" w:rsidRPr="00DE167E" w:rsidRDefault="00DE167E" w:rsidP="00DE167E">
            <w:pPr>
              <w:ind w:left="360"/>
              <w:jc w:val="center"/>
              <w:rPr>
                <w:b/>
                <w:bCs/>
                <w:color w:val="000000"/>
                <w:szCs w:val="20"/>
              </w:rPr>
            </w:pPr>
            <w:r w:rsidRPr="00DE167E">
              <w:rPr>
                <w:b/>
                <w:bCs/>
                <w:color w:val="000000"/>
                <w:szCs w:val="20"/>
              </w:rPr>
              <w:t>2</w:t>
            </w:r>
            <w:r w:rsidR="0050254F" w:rsidRPr="00DE167E">
              <w:rPr>
                <w:b/>
                <w:bCs/>
                <w:color w:val="000000"/>
                <w:szCs w:val="20"/>
              </w:rPr>
              <w:t>% Award</w:t>
            </w:r>
          </w:p>
        </w:tc>
        <w:tc>
          <w:tcPr>
            <w:tcW w:w="1487" w:type="dxa"/>
            <w:tcBorders>
              <w:top w:val="nil"/>
              <w:left w:val="nil"/>
              <w:bottom w:val="single" w:sz="8" w:space="0" w:color="auto"/>
              <w:right w:val="nil"/>
            </w:tcBorders>
            <w:shd w:val="clear" w:color="auto" w:fill="auto"/>
            <w:vAlign w:val="center"/>
            <w:hideMark/>
          </w:tcPr>
          <w:p w14:paraId="78193016" w14:textId="77777777" w:rsidR="0050254F" w:rsidRPr="00DE167E" w:rsidRDefault="0050254F" w:rsidP="00B95B92">
            <w:pPr>
              <w:ind w:left="360"/>
              <w:jc w:val="center"/>
              <w:rPr>
                <w:b/>
                <w:bCs/>
                <w:color w:val="000000"/>
                <w:szCs w:val="20"/>
              </w:rPr>
            </w:pPr>
            <w:r w:rsidRPr="00DE167E">
              <w:rPr>
                <w:b/>
                <w:bCs/>
                <w:color w:val="000000"/>
                <w:szCs w:val="20"/>
              </w:rPr>
              <w:t>Actual Paid</w:t>
            </w:r>
          </w:p>
        </w:tc>
      </w:tr>
      <w:tr w:rsidR="0050254F" w:rsidRPr="00DE167E" w14:paraId="7819301F" w14:textId="77777777" w:rsidTr="00B95B92">
        <w:trPr>
          <w:trHeight w:val="255"/>
          <w:jc w:val="center"/>
        </w:trPr>
        <w:tc>
          <w:tcPr>
            <w:tcW w:w="1386" w:type="dxa"/>
            <w:tcBorders>
              <w:top w:val="nil"/>
              <w:left w:val="nil"/>
              <w:bottom w:val="nil"/>
              <w:right w:val="nil"/>
            </w:tcBorders>
            <w:shd w:val="clear" w:color="auto" w:fill="auto"/>
            <w:noWrap/>
            <w:vAlign w:val="center"/>
            <w:hideMark/>
          </w:tcPr>
          <w:p w14:paraId="78193018" w14:textId="77777777" w:rsidR="0050254F" w:rsidRPr="00DE167E" w:rsidRDefault="0050254F" w:rsidP="00B95B92">
            <w:pPr>
              <w:ind w:left="360"/>
              <w:jc w:val="center"/>
              <w:rPr>
                <w:color w:val="000000"/>
                <w:szCs w:val="20"/>
              </w:rPr>
            </w:pPr>
            <w:r w:rsidRPr="00DE167E">
              <w:rPr>
                <w:color w:val="000000"/>
                <w:szCs w:val="20"/>
              </w:rPr>
              <w:t>A</w:t>
            </w:r>
          </w:p>
        </w:tc>
        <w:tc>
          <w:tcPr>
            <w:tcW w:w="1487" w:type="dxa"/>
            <w:tcBorders>
              <w:top w:val="nil"/>
              <w:left w:val="nil"/>
              <w:bottom w:val="nil"/>
              <w:right w:val="nil"/>
            </w:tcBorders>
            <w:shd w:val="clear" w:color="auto" w:fill="auto"/>
            <w:noWrap/>
            <w:vAlign w:val="center"/>
            <w:hideMark/>
          </w:tcPr>
          <w:p w14:paraId="78193019" w14:textId="77777777" w:rsidR="0050254F" w:rsidRPr="00DE167E" w:rsidRDefault="0050254F" w:rsidP="005F207B">
            <w:pPr>
              <w:ind w:left="360"/>
              <w:jc w:val="center"/>
              <w:rPr>
                <w:color w:val="000000"/>
                <w:szCs w:val="20"/>
              </w:rPr>
            </w:pPr>
            <w:r w:rsidRPr="00DE167E">
              <w:rPr>
                <w:color w:val="000000"/>
                <w:szCs w:val="20"/>
              </w:rPr>
              <w:t>£3</w:t>
            </w:r>
            <w:r w:rsidR="005F207B" w:rsidRPr="00DE167E">
              <w:rPr>
                <w:color w:val="000000"/>
                <w:szCs w:val="20"/>
              </w:rPr>
              <w:t>95</w:t>
            </w:r>
          </w:p>
        </w:tc>
        <w:tc>
          <w:tcPr>
            <w:tcW w:w="1487" w:type="dxa"/>
            <w:tcBorders>
              <w:top w:val="nil"/>
              <w:left w:val="nil"/>
              <w:bottom w:val="nil"/>
              <w:right w:val="nil"/>
            </w:tcBorders>
            <w:shd w:val="clear" w:color="auto" w:fill="auto"/>
            <w:noWrap/>
            <w:vAlign w:val="center"/>
            <w:hideMark/>
          </w:tcPr>
          <w:p w14:paraId="7819301A" w14:textId="77777777" w:rsidR="0050254F" w:rsidRPr="00DE167E" w:rsidRDefault="0050254F" w:rsidP="00B95B92">
            <w:pPr>
              <w:ind w:left="360"/>
              <w:jc w:val="center"/>
              <w:rPr>
                <w:b/>
                <w:color w:val="000000"/>
                <w:szCs w:val="20"/>
              </w:rPr>
            </w:pPr>
            <w:r w:rsidRPr="00DE167E">
              <w:rPr>
                <w:b/>
                <w:color w:val="000000"/>
                <w:szCs w:val="20"/>
              </w:rPr>
              <w:t xml:space="preserve">£600 </w:t>
            </w:r>
          </w:p>
        </w:tc>
        <w:tc>
          <w:tcPr>
            <w:tcW w:w="300" w:type="dxa"/>
            <w:tcBorders>
              <w:top w:val="nil"/>
              <w:left w:val="nil"/>
              <w:bottom w:val="nil"/>
              <w:right w:val="nil"/>
            </w:tcBorders>
            <w:shd w:val="clear" w:color="auto" w:fill="auto"/>
            <w:noWrap/>
            <w:vAlign w:val="bottom"/>
            <w:hideMark/>
          </w:tcPr>
          <w:p w14:paraId="7819301B" w14:textId="77777777" w:rsidR="0050254F" w:rsidRPr="00DE167E" w:rsidRDefault="0050254F" w:rsidP="00B95B92">
            <w:pPr>
              <w:ind w:left="360"/>
              <w:jc w:val="center"/>
              <w:rPr>
                <w:color w:val="000000"/>
                <w:szCs w:val="20"/>
              </w:rPr>
            </w:pPr>
          </w:p>
        </w:tc>
        <w:tc>
          <w:tcPr>
            <w:tcW w:w="1386" w:type="dxa"/>
            <w:tcBorders>
              <w:top w:val="nil"/>
              <w:left w:val="nil"/>
              <w:bottom w:val="nil"/>
              <w:right w:val="nil"/>
            </w:tcBorders>
            <w:shd w:val="clear" w:color="auto" w:fill="auto"/>
            <w:noWrap/>
            <w:vAlign w:val="center"/>
            <w:hideMark/>
          </w:tcPr>
          <w:p w14:paraId="7819301C" w14:textId="77777777" w:rsidR="0050254F" w:rsidRPr="00DE167E" w:rsidRDefault="0050254F" w:rsidP="00B95B92">
            <w:pPr>
              <w:ind w:left="360"/>
              <w:jc w:val="center"/>
              <w:rPr>
                <w:color w:val="000000"/>
                <w:szCs w:val="20"/>
              </w:rPr>
            </w:pPr>
            <w:r w:rsidRPr="00DE167E">
              <w:rPr>
                <w:color w:val="000000"/>
                <w:szCs w:val="20"/>
              </w:rPr>
              <w:t>A</w:t>
            </w:r>
          </w:p>
        </w:tc>
        <w:tc>
          <w:tcPr>
            <w:tcW w:w="1487" w:type="dxa"/>
            <w:tcBorders>
              <w:top w:val="nil"/>
              <w:left w:val="nil"/>
              <w:bottom w:val="nil"/>
              <w:right w:val="nil"/>
            </w:tcBorders>
            <w:shd w:val="clear" w:color="auto" w:fill="auto"/>
            <w:noWrap/>
            <w:vAlign w:val="center"/>
            <w:hideMark/>
          </w:tcPr>
          <w:p w14:paraId="7819301D" w14:textId="77777777" w:rsidR="0050254F" w:rsidRPr="00DE167E" w:rsidRDefault="0050254F" w:rsidP="00DE167E">
            <w:pPr>
              <w:ind w:left="360"/>
              <w:jc w:val="center"/>
              <w:rPr>
                <w:color w:val="000000"/>
                <w:szCs w:val="20"/>
              </w:rPr>
            </w:pPr>
            <w:r w:rsidRPr="00DE167E">
              <w:rPr>
                <w:color w:val="000000"/>
                <w:szCs w:val="20"/>
              </w:rPr>
              <w:t>£</w:t>
            </w:r>
            <w:r w:rsidR="00DE167E" w:rsidRPr="00DE167E">
              <w:rPr>
                <w:color w:val="000000"/>
                <w:szCs w:val="20"/>
              </w:rPr>
              <w:t>406</w:t>
            </w:r>
            <w:r w:rsidRPr="00DE167E">
              <w:rPr>
                <w:color w:val="000000"/>
                <w:szCs w:val="20"/>
              </w:rPr>
              <w:t xml:space="preserve"> </w:t>
            </w:r>
          </w:p>
        </w:tc>
        <w:tc>
          <w:tcPr>
            <w:tcW w:w="1487" w:type="dxa"/>
            <w:tcBorders>
              <w:top w:val="nil"/>
              <w:left w:val="nil"/>
              <w:bottom w:val="nil"/>
              <w:right w:val="nil"/>
            </w:tcBorders>
            <w:shd w:val="clear" w:color="auto" w:fill="auto"/>
            <w:noWrap/>
            <w:vAlign w:val="center"/>
            <w:hideMark/>
          </w:tcPr>
          <w:p w14:paraId="7819301E" w14:textId="77777777" w:rsidR="0050254F" w:rsidRPr="00DE167E" w:rsidRDefault="0050254F" w:rsidP="00B95B92">
            <w:pPr>
              <w:ind w:left="360"/>
              <w:jc w:val="center"/>
              <w:rPr>
                <w:b/>
                <w:color w:val="000000"/>
                <w:szCs w:val="20"/>
              </w:rPr>
            </w:pPr>
            <w:r w:rsidRPr="00DE167E">
              <w:rPr>
                <w:b/>
                <w:color w:val="000000"/>
                <w:szCs w:val="20"/>
              </w:rPr>
              <w:t xml:space="preserve">£600 </w:t>
            </w:r>
          </w:p>
        </w:tc>
      </w:tr>
      <w:tr w:rsidR="0050254F" w:rsidRPr="00DE167E" w14:paraId="78193027" w14:textId="77777777" w:rsidTr="00B95B92">
        <w:trPr>
          <w:trHeight w:val="255"/>
          <w:jc w:val="center"/>
        </w:trPr>
        <w:tc>
          <w:tcPr>
            <w:tcW w:w="1386" w:type="dxa"/>
            <w:tcBorders>
              <w:top w:val="nil"/>
              <w:left w:val="nil"/>
              <w:bottom w:val="nil"/>
              <w:right w:val="nil"/>
            </w:tcBorders>
            <w:shd w:val="clear" w:color="auto" w:fill="auto"/>
            <w:noWrap/>
            <w:vAlign w:val="center"/>
            <w:hideMark/>
          </w:tcPr>
          <w:p w14:paraId="78193020" w14:textId="77777777" w:rsidR="0050254F" w:rsidRPr="00DE167E" w:rsidRDefault="0050254F" w:rsidP="00B95B92">
            <w:pPr>
              <w:ind w:left="360"/>
              <w:jc w:val="center"/>
              <w:rPr>
                <w:color w:val="000000"/>
                <w:szCs w:val="20"/>
              </w:rPr>
            </w:pPr>
            <w:r w:rsidRPr="00DE167E">
              <w:rPr>
                <w:color w:val="000000"/>
                <w:szCs w:val="20"/>
              </w:rPr>
              <w:t xml:space="preserve">B </w:t>
            </w:r>
          </w:p>
        </w:tc>
        <w:tc>
          <w:tcPr>
            <w:tcW w:w="1487" w:type="dxa"/>
            <w:tcBorders>
              <w:top w:val="nil"/>
              <w:left w:val="nil"/>
              <w:bottom w:val="nil"/>
              <w:right w:val="nil"/>
            </w:tcBorders>
            <w:shd w:val="clear" w:color="auto" w:fill="auto"/>
            <w:noWrap/>
            <w:vAlign w:val="center"/>
            <w:hideMark/>
          </w:tcPr>
          <w:p w14:paraId="78193021" w14:textId="77777777" w:rsidR="0050254F" w:rsidRPr="00DE167E" w:rsidRDefault="0050254F" w:rsidP="005F207B">
            <w:pPr>
              <w:ind w:left="360"/>
              <w:jc w:val="center"/>
              <w:rPr>
                <w:color w:val="000000"/>
                <w:szCs w:val="20"/>
              </w:rPr>
            </w:pPr>
            <w:r w:rsidRPr="00DE167E">
              <w:rPr>
                <w:color w:val="000000"/>
                <w:szCs w:val="20"/>
              </w:rPr>
              <w:t>£</w:t>
            </w:r>
            <w:r w:rsidR="005F207B" w:rsidRPr="00DE167E">
              <w:rPr>
                <w:color w:val="000000"/>
                <w:szCs w:val="20"/>
              </w:rPr>
              <w:t>577</w:t>
            </w:r>
            <w:r w:rsidRPr="00DE167E">
              <w:rPr>
                <w:color w:val="000000"/>
                <w:szCs w:val="20"/>
              </w:rPr>
              <w:t xml:space="preserve"> </w:t>
            </w:r>
          </w:p>
        </w:tc>
        <w:tc>
          <w:tcPr>
            <w:tcW w:w="1487" w:type="dxa"/>
            <w:tcBorders>
              <w:top w:val="nil"/>
              <w:left w:val="nil"/>
              <w:bottom w:val="nil"/>
              <w:right w:val="nil"/>
            </w:tcBorders>
            <w:shd w:val="clear" w:color="auto" w:fill="auto"/>
            <w:noWrap/>
            <w:vAlign w:val="center"/>
            <w:hideMark/>
          </w:tcPr>
          <w:p w14:paraId="78193022" w14:textId="77777777" w:rsidR="0050254F" w:rsidRPr="00DE167E" w:rsidRDefault="0050254F" w:rsidP="00B95B92">
            <w:pPr>
              <w:ind w:left="360"/>
              <w:jc w:val="center"/>
              <w:rPr>
                <w:b/>
                <w:color w:val="000000"/>
                <w:szCs w:val="20"/>
              </w:rPr>
            </w:pPr>
            <w:r w:rsidRPr="00DE167E">
              <w:rPr>
                <w:b/>
                <w:color w:val="000000"/>
                <w:szCs w:val="20"/>
              </w:rPr>
              <w:t xml:space="preserve">£600 </w:t>
            </w:r>
          </w:p>
        </w:tc>
        <w:tc>
          <w:tcPr>
            <w:tcW w:w="300" w:type="dxa"/>
            <w:tcBorders>
              <w:top w:val="nil"/>
              <w:left w:val="nil"/>
              <w:bottom w:val="nil"/>
              <w:right w:val="nil"/>
            </w:tcBorders>
            <w:shd w:val="clear" w:color="auto" w:fill="auto"/>
            <w:noWrap/>
            <w:vAlign w:val="bottom"/>
            <w:hideMark/>
          </w:tcPr>
          <w:p w14:paraId="78193023" w14:textId="77777777" w:rsidR="0050254F" w:rsidRPr="00DE167E" w:rsidRDefault="0050254F" w:rsidP="00B95B92">
            <w:pPr>
              <w:ind w:left="360"/>
              <w:jc w:val="center"/>
              <w:rPr>
                <w:color w:val="000000"/>
                <w:szCs w:val="20"/>
              </w:rPr>
            </w:pPr>
          </w:p>
        </w:tc>
        <w:tc>
          <w:tcPr>
            <w:tcW w:w="1386" w:type="dxa"/>
            <w:tcBorders>
              <w:top w:val="nil"/>
              <w:left w:val="nil"/>
              <w:bottom w:val="nil"/>
              <w:right w:val="nil"/>
            </w:tcBorders>
            <w:shd w:val="clear" w:color="auto" w:fill="auto"/>
            <w:noWrap/>
            <w:vAlign w:val="center"/>
            <w:hideMark/>
          </w:tcPr>
          <w:p w14:paraId="78193024" w14:textId="77777777" w:rsidR="0050254F" w:rsidRPr="00DE167E" w:rsidRDefault="0050254F" w:rsidP="00B95B92">
            <w:pPr>
              <w:ind w:left="360"/>
              <w:jc w:val="center"/>
              <w:rPr>
                <w:color w:val="000000"/>
                <w:szCs w:val="20"/>
              </w:rPr>
            </w:pPr>
            <w:r w:rsidRPr="00DE167E">
              <w:rPr>
                <w:color w:val="000000"/>
                <w:szCs w:val="20"/>
              </w:rPr>
              <w:t xml:space="preserve">B </w:t>
            </w:r>
          </w:p>
        </w:tc>
        <w:tc>
          <w:tcPr>
            <w:tcW w:w="1487" w:type="dxa"/>
            <w:tcBorders>
              <w:top w:val="nil"/>
              <w:left w:val="nil"/>
              <w:bottom w:val="nil"/>
              <w:right w:val="nil"/>
            </w:tcBorders>
            <w:shd w:val="clear" w:color="auto" w:fill="auto"/>
            <w:noWrap/>
            <w:vAlign w:val="center"/>
            <w:hideMark/>
          </w:tcPr>
          <w:p w14:paraId="78193025" w14:textId="77777777" w:rsidR="0050254F" w:rsidRPr="00DE167E" w:rsidRDefault="00DE167E" w:rsidP="00B95B92">
            <w:pPr>
              <w:ind w:left="360"/>
              <w:jc w:val="center"/>
              <w:rPr>
                <w:color w:val="000000"/>
                <w:szCs w:val="20"/>
              </w:rPr>
            </w:pPr>
            <w:r w:rsidRPr="00DE167E">
              <w:rPr>
                <w:color w:val="000000"/>
                <w:szCs w:val="20"/>
              </w:rPr>
              <w:t>£512</w:t>
            </w:r>
            <w:r w:rsidR="0050254F" w:rsidRPr="00DE167E">
              <w:rPr>
                <w:color w:val="000000"/>
                <w:szCs w:val="20"/>
              </w:rPr>
              <w:t xml:space="preserve"> </w:t>
            </w:r>
          </w:p>
        </w:tc>
        <w:tc>
          <w:tcPr>
            <w:tcW w:w="1487" w:type="dxa"/>
            <w:tcBorders>
              <w:top w:val="nil"/>
              <w:left w:val="nil"/>
              <w:bottom w:val="nil"/>
              <w:right w:val="nil"/>
            </w:tcBorders>
            <w:shd w:val="clear" w:color="auto" w:fill="auto"/>
            <w:noWrap/>
            <w:vAlign w:val="center"/>
            <w:hideMark/>
          </w:tcPr>
          <w:p w14:paraId="78193026" w14:textId="77777777" w:rsidR="0050254F" w:rsidRPr="00DE167E" w:rsidRDefault="0050254F" w:rsidP="00B95B92">
            <w:pPr>
              <w:ind w:left="360"/>
              <w:jc w:val="center"/>
              <w:rPr>
                <w:b/>
                <w:color w:val="000000"/>
                <w:szCs w:val="20"/>
              </w:rPr>
            </w:pPr>
            <w:r w:rsidRPr="00DE167E">
              <w:rPr>
                <w:b/>
                <w:color w:val="000000"/>
                <w:szCs w:val="20"/>
              </w:rPr>
              <w:t xml:space="preserve">£600 </w:t>
            </w:r>
          </w:p>
        </w:tc>
      </w:tr>
      <w:tr w:rsidR="0050254F" w:rsidRPr="00DE167E" w14:paraId="7819302F" w14:textId="77777777" w:rsidTr="00B95B92">
        <w:trPr>
          <w:trHeight w:val="255"/>
          <w:jc w:val="center"/>
        </w:trPr>
        <w:tc>
          <w:tcPr>
            <w:tcW w:w="1386" w:type="dxa"/>
            <w:tcBorders>
              <w:top w:val="nil"/>
              <w:left w:val="nil"/>
              <w:bottom w:val="nil"/>
              <w:right w:val="nil"/>
            </w:tcBorders>
            <w:shd w:val="clear" w:color="auto" w:fill="auto"/>
            <w:noWrap/>
            <w:vAlign w:val="center"/>
            <w:hideMark/>
          </w:tcPr>
          <w:p w14:paraId="78193028" w14:textId="77777777" w:rsidR="0050254F" w:rsidRPr="00DE167E" w:rsidRDefault="0050254F" w:rsidP="00B95B92">
            <w:pPr>
              <w:ind w:left="360"/>
              <w:jc w:val="center"/>
              <w:rPr>
                <w:color w:val="000000"/>
                <w:szCs w:val="20"/>
              </w:rPr>
            </w:pPr>
            <w:r w:rsidRPr="00DE167E">
              <w:rPr>
                <w:color w:val="000000"/>
                <w:szCs w:val="20"/>
              </w:rPr>
              <w:t>C</w:t>
            </w:r>
          </w:p>
        </w:tc>
        <w:tc>
          <w:tcPr>
            <w:tcW w:w="1487" w:type="dxa"/>
            <w:tcBorders>
              <w:top w:val="nil"/>
              <w:left w:val="nil"/>
              <w:bottom w:val="nil"/>
              <w:right w:val="nil"/>
            </w:tcBorders>
            <w:shd w:val="clear" w:color="auto" w:fill="auto"/>
            <w:noWrap/>
            <w:vAlign w:val="center"/>
            <w:hideMark/>
          </w:tcPr>
          <w:p w14:paraId="78193029" w14:textId="77777777" w:rsidR="0050254F" w:rsidRPr="00DE167E" w:rsidRDefault="005F207B" w:rsidP="000E3BC6">
            <w:pPr>
              <w:ind w:left="360"/>
              <w:jc w:val="center"/>
              <w:rPr>
                <w:color w:val="000000"/>
                <w:szCs w:val="20"/>
              </w:rPr>
            </w:pPr>
            <w:r w:rsidRPr="00DE167E">
              <w:rPr>
                <w:color w:val="000000"/>
                <w:szCs w:val="20"/>
              </w:rPr>
              <w:t>£79</w:t>
            </w:r>
            <w:r w:rsidR="000E3BC6">
              <w:rPr>
                <w:color w:val="000000"/>
                <w:szCs w:val="20"/>
              </w:rPr>
              <w:t>2</w:t>
            </w:r>
          </w:p>
        </w:tc>
        <w:tc>
          <w:tcPr>
            <w:tcW w:w="1487" w:type="dxa"/>
            <w:tcBorders>
              <w:top w:val="nil"/>
              <w:left w:val="nil"/>
              <w:bottom w:val="nil"/>
              <w:right w:val="nil"/>
            </w:tcBorders>
            <w:shd w:val="clear" w:color="auto" w:fill="auto"/>
            <w:noWrap/>
            <w:vAlign w:val="center"/>
            <w:hideMark/>
          </w:tcPr>
          <w:p w14:paraId="7819302A" w14:textId="77777777" w:rsidR="0050254F" w:rsidRPr="00DE167E" w:rsidRDefault="0050254F" w:rsidP="000E3BC6">
            <w:pPr>
              <w:ind w:left="360"/>
              <w:jc w:val="center"/>
              <w:rPr>
                <w:color w:val="000000"/>
                <w:szCs w:val="20"/>
              </w:rPr>
            </w:pPr>
            <w:r w:rsidRPr="00DE167E">
              <w:rPr>
                <w:color w:val="000000"/>
                <w:szCs w:val="20"/>
              </w:rPr>
              <w:t>£</w:t>
            </w:r>
            <w:r w:rsidR="005F207B" w:rsidRPr="00DE167E">
              <w:rPr>
                <w:color w:val="000000"/>
                <w:szCs w:val="20"/>
              </w:rPr>
              <w:t>79</w:t>
            </w:r>
            <w:r w:rsidR="000E3BC6">
              <w:rPr>
                <w:color w:val="000000"/>
                <w:szCs w:val="20"/>
              </w:rPr>
              <w:t>2</w:t>
            </w:r>
            <w:r w:rsidRPr="00DE167E">
              <w:rPr>
                <w:color w:val="000000"/>
                <w:szCs w:val="20"/>
              </w:rPr>
              <w:t xml:space="preserve"> </w:t>
            </w:r>
          </w:p>
        </w:tc>
        <w:tc>
          <w:tcPr>
            <w:tcW w:w="300" w:type="dxa"/>
            <w:tcBorders>
              <w:top w:val="nil"/>
              <w:left w:val="nil"/>
              <w:bottom w:val="nil"/>
              <w:right w:val="nil"/>
            </w:tcBorders>
            <w:shd w:val="clear" w:color="auto" w:fill="auto"/>
            <w:noWrap/>
            <w:vAlign w:val="bottom"/>
            <w:hideMark/>
          </w:tcPr>
          <w:p w14:paraId="7819302B" w14:textId="77777777" w:rsidR="0050254F" w:rsidRPr="00DE167E" w:rsidRDefault="0050254F" w:rsidP="00B95B92">
            <w:pPr>
              <w:ind w:left="360"/>
              <w:jc w:val="center"/>
              <w:rPr>
                <w:color w:val="000000"/>
                <w:szCs w:val="20"/>
              </w:rPr>
            </w:pPr>
          </w:p>
        </w:tc>
        <w:tc>
          <w:tcPr>
            <w:tcW w:w="1386" w:type="dxa"/>
            <w:tcBorders>
              <w:top w:val="nil"/>
              <w:left w:val="nil"/>
              <w:bottom w:val="nil"/>
              <w:right w:val="nil"/>
            </w:tcBorders>
            <w:shd w:val="clear" w:color="auto" w:fill="auto"/>
            <w:noWrap/>
            <w:vAlign w:val="center"/>
            <w:hideMark/>
          </w:tcPr>
          <w:p w14:paraId="7819302C" w14:textId="77777777" w:rsidR="0050254F" w:rsidRPr="00DE167E" w:rsidRDefault="0050254F" w:rsidP="00B95B92">
            <w:pPr>
              <w:ind w:left="360"/>
              <w:jc w:val="center"/>
              <w:rPr>
                <w:color w:val="000000"/>
                <w:szCs w:val="20"/>
              </w:rPr>
            </w:pPr>
            <w:r w:rsidRPr="00DE167E">
              <w:rPr>
                <w:color w:val="000000"/>
                <w:szCs w:val="20"/>
              </w:rPr>
              <w:t>C</w:t>
            </w:r>
          </w:p>
        </w:tc>
        <w:tc>
          <w:tcPr>
            <w:tcW w:w="1487" w:type="dxa"/>
            <w:tcBorders>
              <w:top w:val="nil"/>
              <w:left w:val="nil"/>
              <w:bottom w:val="nil"/>
              <w:right w:val="nil"/>
            </w:tcBorders>
            <w:shd w:val="clear" w:color="auto" w:fill="auto"/>
            <w:noWrap/>
            <w:vAlign w:val="center"/>
            <w:hideMark/>
          </w:tcPr>
          <w:p w14:paraId="7819302D" w14:textId="77777777" w:rsidR="0050254F" w:rsidRPr="00DE167E" w:rsidRDefault="00DE167E" w:rsidP="00B95B92">
            <w:pPr>
              <w:ind w:left="360"/>
              <w:jc w:val="center"/>
              <w:rPr>
                <w:color w:val="000000"/>
                <w:szCs w:val="20"/>
              </w:rPr>
            </w:pPr>
            <w:r w:rsidRPr="00DE167E">
              <w:rPr>
                <w:color w:val="000000"/>
                <w:szCs w:val="20"/>
              </w:rPr>
              <w:t>£733</w:t>
            </w:r>
            <w:r w:rsidR="0050254F" w:rsidRPr="00DE167E">
              <w:rPr>
                <w:color w:val="000000"/>
                <w:szCs w:val="20"/>
              </w:rPr>
              <w:t xml:space="preserve"> </w:t>
            </w:r>
          </w:p>
        </w:tc>
        <w:tc>
          <w:tcPr>
            <w:tcW w:w="1487" w:type="dxa"/>
            <w:tcBorders>
              <w:top w:val="nil"/>
              <w:left w:val="nil"/>
              <w:bottom w:val="nil"/>
              <w:right w:val="nil"/>
            </w:tcBorders>
            <w:shd w:val="clear" w:color="auto" w:fill="auto"/>
            <w:noWrap/>
            <w:vAlign w:val="center"/>
            <w:hideMark/>
          </w:tcPr>
          <w:p w14:paraId="7819302E" w14:textId="77777777" w:rsidR="0050254F" w:rsidRPr="00DE167E" w:rsidRDefault="0050254F" w:rsidP="00DE167E">
            <w:pPr>
              <w:ind w:left="360"/>
              <w:jc w:val="center"/>
              <w:rPr>
                <w:color w:val="000000"/>
                <w:szCs w:val="20"/>
              </w:rPr>
            </w:pPr>
            <w:r w:rsidRPr="00DE167E">
              <w:rPr>
                <w:color w:val="000000"/>
                <w:szCs w:val="20"/>
              </w:rPr>
              <w:t>£</w:t>
            </w:r>
            <w:r w:rsidR="00DE167E" w:rsidRPr="00DE167E">
              <w:rPr>
                <w:color w:val="000000"/>
                <w:szCs w:val="20"/>
              </w:rPr>
              <w:t>733</w:t>
            </w:r>
            <w:r w:rsidRPr="00DE167E">
              <w:rPr>
                <w:color w:val="000000"/>
                <w:szCs w:val="20"/>
              </w:rPr>
              <w:t xml:space="preserve"> </w:t>
            </w:r>
          </w:p>
        </w:tc>
      </w:tr>
      <w:tr w:rsidR="0050254F" w:rsidRPr="00DE167E" w14:paraId="78193037" w14:textId="77777777" w:rsidTr="00B95B92">
        <w:trPr>
          <w:trHeight w:val="255"/>
          <w:jc w:val="center"/>
        </w:trPr>
        <w:tc>
          <w:tcPr>
            <w:tcW w:w="1386" w:type="dxa"/>
            <w:tcBorders>
              <w:top w:val="nil"/>
              <w:left w:val="nil"/>
              <w:bottom w:val="nil"/>
              <w:right w:val="nil"/>
            </w:tcBorders>
            <w:shd w:val="clear" w:color="auto" w:fill="auto"/>
            <w:noWrap/>
            <w:vAlign w:val="center"/>
            <w:hideMark/>
          </w:tcPr>
          <w:p w14:paraId="78193030" w14:textId="77777777" w:rsidR="0050254F" w:rsidRPr="00DE167E" w:rsidRDefault="0050254F" w:rsidP="00B95B92">
            <w:pPr>
              <w:ind w:left="360"/>
              <w:jc w:val="center"/>
              <w:rPr>
                <w:color w:val="000000"/>
                <w:szCs w:val="20"/>
              </w:rPr>
            </w:pPr>
            <w:r w:rsidRPr="00DE167E">
              <w:rPr>
                <w:color w:val="000000"/>
                <w:szCs w:val="20"/>
              </w:rPr>
              <w:t>D</w:t>
            </w:r>
          </w:p>
        </w:tc>
        <w:tc>
          <w:tcPr>
            <w:tcW w:w="1487" w:type="dxa"/>
            <w:tcBorders>
              <w:top w:val="nil"/>
              <w:left w:val="nil"/>
              <w:bottom w:val="nil"/>
              <w:right w:val="nil"/>
            </w:tcBorders>
            <w:shd w:val="clear" w:color="auto" w:fill="auto"/>
            <w:noWrap/>
            <w:vAlign w:val="center"/>
            <w:hideMark/>
          </w:tcPr>
          <w:p w14:paraId="78193031" w14:textId="77777777" w:rsidR="0050254F" w:rsidRPr="00DE167E" w:rsidRDefault="0050254F" w:rsidP="000E3BC6">
            <w:pPr>
              <w:ind w:left="360"/>
              <w:jc w:val="center"/>
              <w:rPr>
                <w:color w:val="000000"/>
                <w:szCs w:val="20"/>
              </w:rPr>
            </w:pPr>
            <w:r w:rsidRPr="00DE167E">
              <w:rPr>
                <w:color w:val="000000"/>
                <w:szCs w:val="20"/>
              </w:rPr>
              <w:t>£</w:t>
            </w:r>
            <w:r w:rsidR="00DE167E" w:rsidRPr="00DE167E">
              <w:rPr>
                <w:color w:val="000000"/>
                <w:szCs w:val="20"/>
              </w:rPr>
              <w:t>1,1</w:t>
            </w:r>
            <w:r w:rsidR="000E3BC6">
              <w:rPr>
                <w:color w:val="000000"/>
                <w:szCs w:val="20"/>
              </w:rPr>
              <w:t>60</w:t>
            </w:r>
            <w:r w:rsidRPr="00DE167E">
              <w:rPr>
                <w:color w:val="000000"/>
                <w:szCs w:val="20"/>
              </w:rPr>
              <w:t xml:space="preserve"> </w:t>
            </w:r>
          </w:p>
        </w:tc>
        <w:tc>
          <w:tcPr>
            <w:tcW w:w="1487" w:type="dxa"/>
            <w:tcBorders>
              <w:top w:val="nil"/>
              <w:left w:val="nil"/>
              <w:bottom w:val="nil"/>
              <w:right w:val="nil"/>
            </w:tcBorders>
            <w:shd w:val="clear" w:color="auto" w:fill="auto"/>
            <w:noWrap/>
            <w:vAlign w:val="center"/>
            <w:hideMark/>
          </w:tcPr>
          <w:p w14:paraId="78193032" w14:textId="77777777" w:rsidR="0050254F" w:rsidRPr="00DE167E" w:rsidRDefault="0050254F" w:rsidP="000E3BC6">
            <w:pPr>
              <w:ind w:left="360"/>
              <w:jc w:val="center"/>
              <w:rPr>
                <w:color w:val="000000"/>
                <w:szCs w:val="20"/>
              </w:rPr>
            </w:pPr>
            <w:r w:rsidRPr="00DE167E">
              <w:rPr>
                <w:color w:val="000000"/>
                <w:szCs w:val="20"/>
              </w:rPr>
              <w:t>£</w:t>
            </w:r>
            <w:r w:rsidR="00DE167E" w:rsidRPr="00DE167E">
              <w:rPr>
                <w:color w:val="000000"/>
                <w:szCs w:val="20"/>
              </w:rPr>
              <w:t>1,1</w:t>
            </w:r>
            <w:r w:rsidR="000E3BC6">
              <w:rPr>
                <w:color w:val="000000"/>
                <w:szCs w:val="20"/>
              </w:rPr>
              <w:t>60</w:t>
            </w:r>
            <w:r w:rsidRPr="00DE167E">
              <w:rPr>
                <w:color w:val="000000"/>
                <w:szCs w:val="20"/>
              </w:rPr>
              <w:t xml:space="preserve"> </w:t>
            </w:r>
          </w:p>
        </w:tc>
        <w:tc>
          <w:tcPr>
            <w:tcW w:w="300" w:type="dxa"/>
            <w:tcBorders>
              <w:top w:val="nil"/>
              <w:left w:val="nil"/>
              <w:bottom w:val="nil"/>
              <w:right w:val="nil"/>
            </w:tcBorders>
            <w:shd w:val="clear" w:color="auto" w:fill="auto"/>
            <w:noWrap/>
            <w:vAlign w:val="bottom"/>
            <w:hideMark/>
          </w:tcPr>
          <w:p w14:paraId="78193033" w14:textId="77777777" w:rsidR="0050254F" w:rsidRPr="00DE167E" w:rsidRDefault="0050254F" w:rsidP="00B95B92">
            <w:pPr>
              <w:ind w:left="360"/>
              <w:jc w:val="center"/>
              <w:rPr>
                <w:color w:val="000000"/>
                <w:szCs w:val="20"/>
              </w:rPr>
            </w:pPr>
          </w:p>
        </w:tc>
        <w:tc>
          <w:tcPr>
            <w:tcW w:w="1386" w:type="dxa"/>
            <w:tcBorders>
              <w:top w:val="nil"/>
              <w:left w:val="nil"/>
              <w:bottom w:val="nil"/>
              <w:right w:val="nil"/>
            </w:tcBorders>
            <w:shd w:val="clear" w:color="auto" w:fill="auto"/>
            <w:noWrap/>
            <w:vAlign w:val="center"/>
            <w:hideMark/>
          </w:tcPr>
          <w:p w14:paraId="78193034" w14:textId="77777777" w:rsidR="0050254F" w:rsidRPr="00DE167E" w:rsidRDefault="0050254F" w:rsidP="00B95B92">
            <w:pPr>
              <w:ind w:left="360"/>
              <w:jc w:val="center"/>
              <w:rPr>
                <w:color w:val="000000"/>
                <w:szCs w:val="20"/>
              </w:rPr>
            </w:pPr>
            <w:r w:rsidRPr="00DE167E">
              <w:rPr>
                <w:color w:val="000000"/>
                <w:szCs w:val="20"/>
              </w:rPr>
              <w:t>D</w:t>
            </w:r>
          </w:p>
        </w:tc>
        <w:tc>
          <w:tcPr>
            <w:tcW w:w="1487" w:type="dxa"/>
            <w:tcBorders>
              <w:top w:val="nil"/>
              <w:left w:val="nil"/>
              <w:bottom w:val="nil"/>
              <w:right w:val="nil"/>
            </w:tcBorders>
            <w:shd w:val="clear" w:color="auto" w:fill="auto"/>
            <w:noWrap/>
            <w:vAlign w:val="center"/>
            <w:hideMark/>
          </w:tcPr>
          <w:p w14:paraId="78193035" w14:textId="77777777" w:rsidR="0050254F" w:rsidRPr="00DE167E" w:rsidRDefault="00DE167E" w:rsidP="00B95B92">
            <w:pPr>
              <w:ind w:left="360"/>
              <w:jc w:val="center"/>
              <w:rPr>
                <w:color w:val="000000"/>
                <w:szCs w:val="20"/>
              </w:rPr>
            </w:pPr>
            <w:r w:rsidRPr="00DE167E">
              <w:rPr>
                <w:color w:val="000000"/>
                <w:szCs w:val="20"/>
              </w:rPr>
              <w:t>£1076</w:t>
            </w:r>
          </w:p>
        </w:tc>
        <w:tc>
          <w:tcPr>
            <w:tcW w:w="1487" w:type="dxa"/>
            <w:tcBorders>
              <w:top w:val="nil"/>
              <w:left w:val="nil"/>
              <w:bottom w:val="nil"/>
              <w:right w:val="nil"/>
            </w:tcBorders>
            <w:shd w:val="clear" w:color="auto" w:fill="auto"/>
            <w:noWrap/>
            <w:vAlign w:val="center"/>
            <w:hideMark/>
          </w:tcPr>
          <w:p w14:paraId="78193036" w14:textId="77777777" w:rsidR="0050254F" w:rsidRPr="00DE167E" w:rsidRDefault="0050254F" w:rsidP="00DE167E">
            <w:pPr>
              <w:ind w:left="360"/>
              <w:jc w:val="center"/>
              <w:rPr>
                <w:color w:val="000000"/>
                <w:szCs w:val="20"/>
              </w:rPr>
            </w:pPr>
            <w:r w:rsidRPr="00DE167E">
              <w:rPr>
                <w:color w:val="000000"/>
                <w:szCs w:val="20"/>
              </w:rPr>
              <w:t>£</w:t>
            </w:r>
            <w:r w:rsidR="00DE167E" w:rsidRPr="00DE167E">
              <w:rPr>
                <w:color w:val="000000"/>
                <w:szCs w:val="20"/>
              </w:rPr>
              <w:t>1076</w:t>
            </w:r>
            <w:r w:rsidRPr="00DE167E">
              <w:rPr>
                <w:color w:val="000000"/>
                <w:szCs w:val="20"/>
              </w:rPr>
              <w:t xml:space="preserve"> </w:t>
            </w:r>
          </w:p>
        </w:tc>
      </w:tr>
      <w:tr w:rsidR="0050254F" w:rsidRPr="00DE167E" w14:paraId="7819303F" w14:textId="77777777" w:rsidTr="00B95B92">
        <w:trPr>
          <w:trHeight w:val="255"/>
          <w:jc w:val="center"/>
        </w:trPr>
        <w:tc>
          <w:tcPr>
            <w:tcW w:w="1386" w:type="dxa"/>
            <w:tcBorders>
              <w:top w:val="nil"/>
              <w:left w:val="nil"/>
              <w:bottom w:val="nil"/>
              <w:right w:val="nil"/>
            </w:tcBorders>
            <w:shd w:val="clear" w:color="auto" w:fill="auto"/>
            <w:noWrap/>
            <w:vAlign w:val="center"/>
            <w:hideMark/>
          </w:tcPr>
          <w:p w14:paraId="78193038" w14:textId="77777777" w:rsidR="0050254F" w:rsidRPr="00DE167E" w:rsidRDefault="0050254F" w:rsidP="00B95B92">
            <w:pPr>
              <w:ind w:left="360"/>
              <w:jc w:val="center"/>
              <w:rPr>
                <w:color w:val="000000"/>
                <w:szCs w:val="20"/>
              </w:rPr>
            </w:pPr>
            <w:r w:rsidRPr="00DE167E">
              <w:rPr>
                <w:color w:val="000000"/>
                <w:szCs w:val="20"/>
              </w:rPr>
              <w:t>E</w:t>
            </w:r>
          </w:p>
        </w:tc>
        <w:tc>
          <w:tcPr>
            <w:tcW w:w="1487" w:type="dxa"/>
            <w:tcBorders>
              <w:top w:val="nil"/>
              <w:left w:val="nil"/>
              <w:bottom w:val="nil"/>
              <w:right w:val="nil"/>
            </w:tcBorders>
            <w:shd w:val="clear" w:color="auto" w:fill="auto"/>
            <w:noWrap/>
            <w:vAlign w:val="center"/>
            <w:hideMark/>
          </w:tcPr>
          <w:p w14:paraId="78193039" w14:textId="77777777" w:rsidR="0050254F" w:rsidRPr="00DE167E" w:rsidRDefault="00DE167E" w:rsidP="00B95B92">
            <w:pPr>
              <w:ind w:left="360"/>
              <w:jc w:val="center"/>
              <w:rPr>
                <w:color w:val="000000"/>
                <w:szCs w:val="20"/>
              </w:rPr>
            </w:pPr>
            <w:r w:rsidRPr="00DE167E">
              <w:rPr>
                <w:color w:val="000000"/>
                <w:szCs w:val="20"/>
              </w:rPr>
              <w:t>£1,480</w:t>
            </w:r>
            <w:r w:rsidR="0050254F" w:rsidRPr="00DE167E">
              <w:rPr>
                <w:color w:val="000000"/>
                <w:szCs w:val="20"/>
              </w:rPr>
              <w:t xml:space="preserve"> </w:t>
            </w:r>
          </w:p>
        </w:tc>
        <w:tc>
          <w:tcPr>
            <w:tcW w:w="1487" w:type="dxa"/>
            <w:tcBorders>
              <w:top w:val="nil"/>
              <w:left w:val="nil"/>
              <w:bottom w:val="nil"/>
              <w:right w:val="nil"/>
            </w:tcBorders>
            <w:shd w:val="clear" w:color="auto" w:fill="auto"/>
            <w:noWrap/>
            <w:vAlign w:val="center"/>
            <w:hideMark/>
          </w:tcPr>
          <w:p w14:paraId="7819303A" w14:textId="77777777" w:rsidR="0050254F" w:rsidRPr="00DE167E" w:rsidRDefault="00DE167E" w:rsidP="00B95B92">
            <w:pPr>
              <w:ind w:left="360"/>
              <w:jc w:val="center"/>
              <w:rPr>
                <w:color w:val="000000"/>
                <w:szCs w:val="20"/>
              </w:rPr>
            </w:pPr>
            <w:r w:rsidRPr="00DE167E">
              <w:rPr>
                <w:color w:val="000000"/>
                <w:szCs w:val="20"/>
              </w:rPr>
              <w:t>£1,480</w:t>
            </w:r>
            <w:r w:rsidR="0050254F" w:rsidRPr="00DE167E">
              <w:rPr>
                <w:color w:val="000000"/>
                <w:szCs w:val="20"/>
              </w:rPr>
              <w:t xml:space="preserve"> </w:t>
            </w:r>
          </w:p>
        </w:tc>
        <w:tc>
          <w:tcPr>
            <w:tcW w:w="300" w:type="dxa"/>
            <w:tcBorders>
              <w:top w:val="nil"/>
              <w:left w:val="nil"/>
              <w:bottom w:val="nil"/>
              <w:right w:val="nil"/>
            </w:tcBorders>
            <w:shd w:val="clear" w:color="auto" w:fill="auto"/>
            <w:noWrap/>
            <w:vAlign w:val="bottom"/>
            <w:hideMark/>
          </w:tcPr>
          <w:p w14:paraId="7819303B" w14:textId="77777777" w:rsidR="0050254F" w:rsidRPr="00DE167E" w:rsidRDefault="0050254F" w:rsidP="00B95B92">
            <w:pPr>
              <w:ind w:left="360"/>
              <w:jc w:val="center"/>
              <w:rPr>
                <w:color w:val="000000"/>
                <w:szCs w:val="20"/>
              </w:rPr>
            </w:pPr>
          </w:p>
        </w:tc>
        <w:tc>
          <w:tcPr>
            <w:tcW w:w="1386" w:type="dxa"/>
            <w:tcBorders>
              <w:top w:val="nil"/>
              <w:left w:val="nil"/>
              <w:bottom w:val="nil"/>
              <w:right w:val="nil"/>
            </w:tcBorders>
            <w:shd w:val="clear" w:color="auto" w:fill="auto"/>
            <w:noWrap/>
            <w:vAlign w:val="center"/>
            <w:hideMark/>
          </w:tcPr>
          <w:p w14:paraId="7819303C" w14:textId="77777777" w:rsidR="0050254F" w:rsidRPr="00DE167E" w:rsidRDefault="0050254F" w:rsidP="00B95B92">
            <w:pPr>
              <w:ind w:left="360"/>
              <w:jc w:val="center"/>
              <w:rPr>
                <w:color w:val="000000"/>
                <w:szCs w:val="20"/>
              </w:rPr>
            </w:pPr>
            <w:r w:rsidRPr="00DE167E">
              <w:rPr>
                <w:color w:val="000000"/>
                <w:szCs w:val="20"/>
              </w:rPr>
              <w:t>E</w:t>
            </w:r>
          </w:p>
        </w:tc>
        <w:tc>
          <w:tcPr>
            <w:tcW w:w="1487" w:type="dxa"/>
            <w:tcBorders>
              <w:top w:val="nil"/>
              <w:left w:val="nil"/>
              <w:bottom w:val="nil"/>
              <w:right w:val="nil"/>
            </w:tcBorders>
            <w:shd w:val="clear" w:color="auto" w:fill="auto"/>
            <w:noWrap/>
            <w:vAlign w:val="center"/>
            <w:hideMark/>
          </w:tcPr>
          <w:p w14:paraId="7819303D" w14:textId="77777777" w:rsidR="0050254F" w:rsidRPr="00DE167E" w:rsidRDefault="00DE167E" w:rsidP="00B95B92">
            <w:pPr>
              <w:ind w:left="360"/>
              <w:jc w:val="center"/>
              <w:rPr>
                <w:color w:val="000000"/>
                <w:szCs w:val="20"/>
              </w:rPr>
            </w:pPr>
            <w:r w:rsidRPr="00DE167E">
              <w:rPr>
                <w:color w:val="000000"/>
                <w:szCs w:val="20"/>
              </w:rPr>
              <w:t>£1,368</w:t>
            </w:r>
          </w:p>
        </w:tc>
        <w:tc>
          <w:tcPr>
            <w:tcW w:w="1487" w:type="dxa"/>
            <w:tcBorders>
              <w:top w:val="nil"/>
              <w:left w:val="nil"/>
              <w:bottom w:val="nil"/>
              <w:right w:val="nil"/>
            </w:tcBorders>
            <w:shd w:val="clear" w:color="auto" w:fill="auto"/>
            <w:noWrap/>
            <w:vAlign w:val="center"/>
            <w:hideMark/>
          </w:tcPr>
          <w:p w14:paraId="7819303E" w14:textId="77777777" w:rsidR="0050254F" w:rsidRPr="00DE167E" w:rsidRDefault="00DE167E" w:rsidP="00B95B92">
            <w:pPr>
              <w:ind w:left="360"/>
              <w:jc w:val="center"/>
              <w:rPr>
                <w:color w:val="000000"/>
                <w:szCs w:val="20"/>
              </w:rPr>
            </w:pPr>
            <w:r w:rsidRPr="00DE167E">
              <w:rPr>
                <w:color w:val="000000"/>
                <w:szCs w:val="20"/>
              </w:rPr>
              <w:t>£1,368</w:t>
            </w:r>
            <w:r w:rsidR="0050254F" w:rsidRPr="00DE167E">
              <w:rPr>
                <w:color w:val="000000"/>
                <w:szCs w:val="20"/>
              </w:rPr>
              <w:t xml:space="preserve"> </w:t>
            </w:r>
          </w:p>
        </w:tc>
      </w:tr>
    </w:tbl>
    <w:p w14:paraId="78193040" w14:textId="77777777" w:rsidR="00DE167E" w:rsidRPr="00DE167E" w:rsidRDefault="00DE167E" w:rsidP="00B95B92">
      <w:pPr>
        <w:rPr>
          <w:szCs w:val="20"/>
        </w:rPr>
      </w:pPr>
    </w:p>
    <w:p w14:paraId="78193041" w14:textId="77777777" w:rsidR="00B95B92" w:rsidRPr="000E39F5" w:rsidRDefault="00B95B92" w:rsidP="00B95B92">
      <w:pPr>
        <w:jc w:val="both"/>
        <w:rPr>
          <w:b/>
          <w:szCs w:val="20"/>
        </w:rPr>
      </w:pPr>
    </w:p>
    <w:p w14:paraId="78193042" w14:textId="77777777" w:rsidR="00DE167E" w:rsidRPr="00DE167E" w:rsidRDefault="00DE167E" w:rsidP="00DE167E">
      <w:pPr>
        <w:pStyle w:val="ListParagraph"/>
        <w:numPr>
          <w:ilvl w:val="0"/>
          <w:numId w:val="28"/>
        </w:numPr>
        <w:rPr>
          <w:rFonts w:ascii="Verdana" w:hAnsi="Verdana"/>
          <w:b/>
          <w:sz w:val="20"/>
          <w:u w:val="single"/>
        </w:rPr>
      </w:pPr>
      <w:r>
        <w:rPr>
          <w:b/>
        </w:rPr>
        <w:t xml:space="preserve">     </w:t>
      </w:r>
      <w:r w:rsidR="00787646" w:rsidRPr="00DE167E">
        <w:rPr>
          <w:rFonts w:ascii="Verdana" w:hAnsi="Verdana"/>
          <w:b/>
          <w:sz w:val="20"/>
          <w:u w:val="single"/>
        </w:rPr>
        <w:t>Performance Related Payment</w:t>
      </w:r>
      <w:r w:rsidR="00B95B92" w:rsidRPr="00DE167E">
        <w:rPr>
          <w:rFonts w:ascii="Verdana" w:hAnsi="Verdana"/>
          <w:b/>
          <w:sz w:val="20"/>
          <w:u w:val="single"/>
        </w:rPr>
        <w:t>s</w:t>
      </w:r>
    </w:p>
    <w:p w14:paraId="78193043" w14:textId="77777777" w:rsidR="00DE167E" w:rsidRPr="00DE167E" w:rsidRDefault="00DE167E" w:rsidP="00DE167E">
      <w:pPr>
        <w:rPr>
          <w:szCs w:val="20"/>
        </w:rPr>
      </w:pPr>
    </w:p>
    <w:p w14:paraId="78193044" w14:textId="77777777" w:rsidR="00660706" w:rsidRDefault="00660706" w:rsidP="00DE167E"/>
    <w:p w14:paraId="78193045" w14:textId="77777777" w:rsidR="00696F20" w:rsidRDefault="00660706" w:rsidP="00660706">
      <w:pPr>
        <w:ind w:left="720" w:hanging="720"/>
      </w:pPr>
      <w:r>
        <w:t>5.</w:t>
      </w:r>
      <w:r w:rsidR="00B462BC">
        <w:t>1</w:t>
      </w:r>
      <w:r>
        <w:tab/>
      </w:r>
      <w:r w:rsidR="00696F20" w:rsidRPr="00B95B92">
        <w:t>In addition to the pay award and to recognise achievement for performance during the performance review year April 201</w:t>
      </w:r>
      <w:r w:rsidR="00DE167E">
        <w:t>8</w:t>
      </w:r>
      <w:r w:rsidR="00696F20" w:rsidRPr="00B95B92">
        <w:t xml:space="preserve"> to March 201</w:t>
      </w:r>
      <w:r w:rsidR="00DE167E">
        <w:t>9</w:t>
      </w:r>
      <w:r w:rsidR="00696F20" w:rsidRPr="00B95B92">
        <w:t xml:space="preserve"> the following </w:t>
      </w:r>
      <w:r w:rsidR="00696F20" w:rsidRPr="00DE167E">
        <w:rPr>
          <w:i/>
        </w:rPr>
        <w:t>one-off non-consolidated</w:t>
      </w:r>
      <w:r w:rsidR="00164C85" w:rsidRPr="00DE167E">
        <w:rPr>
          <w:i/>
        </w:rPr>
        <w:t>,</w:t>
      </w:r>
      <w:r w:rsidR="00696F20" w:rsidRPr="00DE167E">
        <w:rPr>
          <w:i/>
        </w:rPr>
        <w:t xml:space="preserve"> non pensionable</w:t>
      </w:r>
      <w:r w:rsidR="00164C85" w:rsidRPr="00DE167E">
        <w:rPr>
          <w:i/>
        </w:rPr>
        <w:t>,</w:t>
      </w:r>
      <w:r w:rsidR="00696F20" w:rsidRPr="00DE167E">
        <w:rPr>
          <w:i/>
        </w:rPr>
        <w:t xml:space="preserve"> performance related payments</w:t>
      </w:r>
      <w:r>
        <w:t xml:space="preserve"> have been agreed:</w:t>
      </w:r>
    </w:p>
    <w:p w14:paraId="78193046" w14:textId="77777777" w:rsidR="00660706" w:rsidRDefault="00660706" w:rsidP="00660706">
      <w:pPr>
        <w:ind w:left="720" w:hanging="720"/>
      </w:pPr>
    </w:p>
    <w:p w14:paraId="78193047" w14:textId="77777777" w:rsidR="00660706" w:rsidRDefault="00660706" w:rsidP="00660706">
      <w:pPr>
        <w:pStyle w:val="ListParagraph"/>
        <w:widowControl/>
        <w:numPr>
          <w:ilvl w:val="0"/>
          <w:numId w:val="35"/>
        </w:numPr>
        <w:adjustRightInd/>
        <w:spacing w:after="160" w:line="259" w:lineRule="auto"/>
        <w:contextualSpacing/>
        <w:jc w:val="left"/>
        <w:textAlignment w:val="auto"/>
        <w:rPr>
          <w:rFonts w:ascii="Verdana" w:hAnsi="Verdana"/>
          <w:sz w:val="20"/>
        </w:rPr>
      </w:pPr>
      <w:r>
        <w:rPr>
          <w:rFonts w:ascii="Verdana" w:hAnsi="Verdana"/>
          <w:sz w:val="20"/>
        </w:rPr>
        <w:t>Bands A-B: 6% of actual salaries for ‘High Performing’, and 2.5% of actual salaries for ‘Achieving’.</w:t>
      </w:r>
    </w:p>
    <w:p w14:paraId="78193048" w14:textId="77777777" w:rsidR="00660706" w:rsidRDefault="00660706" w:rsidP="00660706">
      <w:pPr>
        <w:pStyle w:val="ListParagraph"/>
        <w:widowControl/>
        <w:numPr>
          <w:ilvl w:val="0"/>
          <w:numId w:val="35"/>
        </w:numPr>
        <w:adjustRightInd/>
        <w:spacing w:after="160" w:line="259" w:lineRule="auto"/>
        <w:contextualSpacing/>
        <w:jc w:val="left"/>
        <w:textAlignment w:val="auto"/>
        <w:rPr>
          <w:rFonts w:ascii="Verdana" w:hAnsi="Verdana"/>
          <w:sz w:val="20"/>
        </w:rPr>
      </w:pPr>
      <w:r>
        <w:rPr>
          <w:rFonts w:ascii="Verdana" w:hAnsi="Verdana"/>
          <w:sz w:val="20"/>
        </w:rPr>
        <w:t xml:space="preserve">Bands C-E: 4.5% of actual salaries for ‘High Performing’, and 1.75% of actual salaries for ‘Achieving’. </w:t>
      </w:r>
    </w:p>
    <w:p w14:paraId="78193049" w14:textId="77777777" w:rsidR="00660706" w:rsidRDefault="00660706" w:rsidP="00660706">
      <w:pPr>
        <w:ind w:left="708" w:hanging="708"/>
        <w:rPr>
          <w:szCs w:val="20"/>
        </w:rPr>
      </w:pPr>
      <w:r>
        <w:rPr>
          <w:szCs w:val="20"/>
        </w:rPr>
        <w:t>5.</w:t>
      </w:r>
      <w:r w:rsidR="00B462BC">
        <w:rPr>
          <w:szCs w:val="20"/>
        </w:rPr>
        <w:t>2</w:t>
      </w:r>
      <w:r>
        <w:rPr>
          <w:szCs w:val="20"/>
        </w:rPr>
        <w:tab/>
      </w:r>
      <w:r w:rsidRPr="00B070EC">
        <w:rPr>
          <w:szCs w:val="20"/>
        </w:rPr>
        <w:t xml:space="preserve">Bonus payments at Q2 and Q4 are calculated on </w:t>
      </w:r>
      <w:r>
        <w:rPr>
          <w:szCs w:val="20"/>
        </w:rPr>
        <w:t>half</w:t>
      </w:r>
      <w:r w:rsidRPr="00B070EC">
        <w:rPr>
          <w:szCs w:val="20"/>
        </w:rPr>
        <w:t xml:space="preserve"> of the annual salaries at 30 September and 31 March respectively. </w:t>
      </w:r>
      <w:r>
        <w:rPr>
          <w:szCs w:val="20"/>
        </w:rPr>
        <w:t xml:space="preserve">(This does not increase your consolidated salary or contribute to pension). For those who work part-time, this will be calculated against your part-time salary. </w:t>
      </w:r>
    </w:p>
    <w:p w14:paraId="7819304A" w14:textId="77777777" w:rsidR="00660706" w:rsidRDefault="00660706" w:rsidP="00660706">
      <w:pPr>
        <w:rPr>
          <w:szCs w:val="20"/>
        </w:rPr>
      </w:pPr>
    </w:p>
    <w:p w14:paraId="7819304B" w14:textId="77777777" w:rsidR="00787646" w:rsidRDefault="00660706" w:rsidP="00915905">
      <w:pPr>
        <w:ind w:left="708" w:hanging="708"/>
        <w:rPr>
          <w:szCs w:val="20"/>
        </w:rPr>
      </w:pPr>
      <w:r>
        <w:rPr>
          <w:szCs w:val="20"/>
        </w:rPr>
        <w:t>5.</w:t>
      </w:r>
      <w:r w:rsidR="00B462BC">
        <w:rPr>
          <w:szCs w:val="20"/>
        </w:rPr>
        <w:t>3</w:t>
      </w:r>
      <w:r>
        <w:rPr>
          <w:szCs w:val="20"/>
        </w:rPr>
        <w:tab/>
        <w:t xml:space="preserve">You will be able to identify the bonus payment for Q2 and Q4 on your payslip as they are coded as two separate payments. </w:t>
      </w:r>
    </w:p>
    <w:p w14:paraId="7819304C" w14:textId="77777777" w:rsidR="00696F20" w:rsidRDefault="00696F20" w:rsidP="00B95B92">
      <w:pPr>
        <w:jc w:val="both"/>
        <w:rPr>
          <w:szCs w:val="20"/>
        </w:rPr>
      </w:pPr>
    </w:p>
    <w:p w14:paraId="7819304D" w14:textId="77777777" w:rsidR="00787646" w:rsidRPr="00B520C4" w:rsidRDefault="00915905" w:rsidP="00915905">
      <w:pPr>
        <w:ind w:left="708" w:hanging="708"/>
        <w:jc w:val="both"/>
      </w:pPr>
      <w:r>
        <w:rPr>
          <w:szCs w:val="20"/>
        </w:rPr>
        <w:t>5.</w:t>
      </w:r>
      <w:r w:rsidR="00B462BC">
        <w:rPr>
          <w:szCs w:val="20"/>
        </w:rPr>
        <w:t>4</w:t>
      </w:r>
      <w:r>
        <w:rPr>
          <w:szCs w:val="20"/>
        </w:rPr>
        <w:tab/>
      </w:r>
      <w:r w:rsidR="00787646" w:rsidRPr="00B95B92">
        <w:t xml:space="preserve">Employees who have been assessed as </w:t>
      </w:r>
      <w:r w:rsidR="00660706">
        <w:rPr>
          <w:i/>
        </w:rPr>
        <w:t xml:space="preserve">Needs Support </w:t>
      </w:r>
      <w:r w:rsidR="00164C85" w:rsidRPr="00B95B92">
        <w:t xml:space="preserve">or </w:t>
      </w:r>
      <w:r w:rsidR="00D541A0" w:rsidRPr="00B520C4">
        <w:rPr>
          <w:i/>
        </w:rPr>
        <w:t>Underperforming</w:t>
      </w:r>
      <w:r w:rsidR="00D541A0">
        <w:rPr>
          <w:i/>
        </w:rPr>
        <w:t xml:space="preserve"> </w:t>
      </w:r>
      <w:r w:rsidR="00787646" w:rsidRPr="00B95B92">
        <w:t xml:space="preserve">will not be entitled to the </w:t>
      </w:r>
      <w:r w:rsidR="00AF3C4E" w:rsidRPr="00B95B92">
        <w:t>performance</w:t>
      </w:r>
      <w:r w:rsidR="00787646" w:rsidRPr="00B95B92">
        <w:t xml:space="preserve"> payment.</w:t>
      </w:r>
      <w:r>
        <w:t xml:space="preserve"> Those in </w:t>
      </w:r>
      <w:r>
        <w:rPr>
          <w:i/>
        </w:rPr>
        <w:t xml:space="preserve">New to Role/Ofgem </w:t>
      </w:r>
      <w:r w:rsidRPr="00B520C4">
        <w:t xml:space="preserve">will also not be entitled to a bonus. </w:t>
      </w:r>
    </w:p>
    <w:p w14:paraId="7819304E" w14:textId="77777777" w:rsidR="00915905" w:rsidRDefault="00915905" w:rsidP="00915905">
      <w:pPr>
        <w:ind w:left="708" w:hanging="708"/>
        <w:jc w:val="both"/>
        <w:rPr>
          <w:i/>
        </w:rPr>
      </w:pPr>
    </w:p>
    <w:p w14:paraId="7819304F" w14:textId="77777777" w:rsidR="00787646" w:rsidRDefault="00761C04" w:rsidP="00761C04">
      <w:pPr>
        <w:ind w:left="708" w:hanging="708"/>
        <w:jc w:val="both"/>
        <w:rPr>
          <w:szCs w:val="20"/>
        </w:rPr>
      </w:pPr>
      <w:r>
        <w:t>5.</w:t>
      </w:r>
      <w:r w:rsidR="00B462BC">
        <w:t>5</w:t>
      </w:r>
      <w:r>
        <w:tab/>
      </w:r>
      <w:r w:rsidR="00AB4C54">
        <w:t xml:space="preserve">For the performance year 2019/20, we will take learnings from the 2018/19 approach and consider whether there are </w:t>
      </w:r>
      <w:r w:rsidR="00D541A0">
        <w:t xml:space="preserve">more effective </w:t>
      </w:r>
      <w:r w:rsidR="00AB4C54">
        <w:t>approaches to our reward strategy.</w:t>
      </w:r>
    </w:p>
    <w:p w14:paraId="78193050" w14:textId="77777777" w:rsidR="00915905" w:rsidRPr="00BB0A63" w:rsidRDefault="00915905" w:rsidP="00B95B92">
      <w:pPr>
        <w:ind w:left="491"/>
        <w:jc w:val="both"/>
        <w:rPr>
          <w:szCs w:val="20"/>
        </w:rPr>
      </w:pPr>
    </w:p>
    <w:p w14:paraId="78193051" w14:textId="77777777" w:rsidR="00787646" w:rsidRDefault="00915905" w:rsidP="00915905">
      <w:pPr>
        <w:pStyle w:val="ListParagraph"/>
        <w:numPr>
          <w:ilvl w:val="0"/>
          <w:numId w:val="28"/>
        </w:numPr>
        <w:rPr>
          <w:rFonts w:ascii="Verdana" w:hAnsi="Verdana"/>
          <w:b/>
          <w:sz w:val="20"/>
          <w:u w:val="single"/>
        </w:rPr>
      </w:pPr>
      <w:r w:rsidRPr="00915905">
        <w:rPr>
          <w:rFonts w:ascii="Verdana" w:hAnsi="Verdana"/>
          <w:b/>
          <w:sz w:val="20"/>
        </w:rPr>
        <w:t xml:space="preserve"> </w:t>
      </w:r>
      <w:r>
        <w:rPr>
          <w:rFonts w:ascii="Verdana" w:hAnsi="Verdana"/>
          <w:b/>
          <w:sz w:val="20"/>
        </w:rPr>
        <w:t xml:space="preserve">     </w:t>
      </w:r>
      <w:r w:rsidR="00787646" w:rsidRPr="00915905">
        <w:rPr>
          <w:rFonts w:ascii="Verdana" w:hAnsi="Verdana"/>
          <w:b/>
          <w:sz w:val="20"/>
          <w:u w:val="single"/>
        </w:rPr>
        <w:t>Pay Bands for 201</w:t>
      </w:r>
      <w:r w:rsidRPr="00915905">
        <w:rPr>
          <w:rFonts w:ascii="Verdana" w:hAnsi="Verdana"/>
          <w:b/>
          <w:sz w:val="20"/>
          <w:u w:val="single"/>
        </w:rPr>
        <w:t>9</w:t>
      </w:r>
      <w:r w:rsidR="00787646" w:rsidRPr="00915905">
        <w:rPr>
          <w:rFonts w:ascii="Verdana" w:hAnsi="Verdana"/>
          <w:b/>
          <w:sz w:val="20"/>
          <w:u w:val="single"/>
        </w:rPr>
        <w:t>/</w:t>
      </w:r>
      <w:r w:rsidRPr="00915905">
        <w:rPr>
          <w:rFonts w:ascii="Verdana" w:hAnsi="Verdana"/>
          <w:b/>
          <w:sz w:val="20"/>
          <w:u w:val="single"/>
        </w:rPr>
        <w:t>2020</w:t>
      </w:r>
    </w:p>
    <w:p w14:paraId="78193052" w14:textId="77777777" w:rsidR="00915905" w:rsidRDefault="00915905" w:rsidP="00915905">
      <w:pPr>
        <w:rPr>
          <w:b/>
          <w:u w:val="single"/>
        </w:rPr>
      </w:pPr>
    </w:p>
    <w:p w14:paraId="78193053" w14:textId="77777777" w:rsidR="00915905" w:rsidRPr="00915905" w:rsidRDefault="00915905" w:rsidP="00915905">
      <w:pPr>
        <w:pStyle w:val="ListParagraph"/>
        <w:numPr>
          <w:ilvl w:val="1"/>
          <w:numId w:val="28"/>
        </w:numPr>
        <w:rPr>
          <w:rFonts w:ascii="Verdana" w:hAnsi="Verdana"/>
          <w:sz w:val="20"/>
        </w:rPr>
      </w:pPr>
      <w:r w:rsidRPr="00915905">
        <w:rPr>
          <w:rFonts w:ascii="Verdana" w:hAnsi="Verdana"/>
          <w:sz w:val="20"/>
        </w:rPr>
        <w:t>There will be no change to the pay bands that applied from 1</w:t>
      </w:r>
      <w:r w:rsidRPr="00915905">
        <w:rPr>
          <w:rFonts w:ascii="Verdana" w:hAnsi="Verdana"/>
          <w:sz w:val="20"/>
          <w:vertAlign w:val="superscript"/>
        </w:rPr>
        <w:t>st</w:t>
      </w:r>
      <w:r w:rsidRPr="00915905">
        <w:rPr>
          <w:rFonts w:ascii="Verdana" w:hAnsi="Verdana"/>
          <w:sz w:val="20"/>
        </w:rPr>
        <w:t xml:space="preserve"> October 2018 as follows:</w:t>
      </w:r>
    </w:p>
    <w:p w14:paraId="78193054" w14:textId="77777777" w:rsidR="0050254F" w:rsidRDefault="0050254F" w:rsidP="00B95B92">
      <w:pPr>
        <w:ind w:left="360"/>
        <w:jc w:val="both"/>
      </w:pPr>
    </w:p>
    <w:p w14:paraId="78193055" w14:textId="77777777" w:rsidR="00014D86" w:rsidRDefault="00014D86" w:rsidP="00B95B92">
      <w:pPr>
        <w:ind w:left="360"/>
        <w:jc w:val="both"/>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5"/>
        <w:gridCol w:w="1412"/>
        <w:gridCol w:w="1412"/>
        <w:gridCol w:w="1412"/>
        <w:gridCol w:w="1412"/>
        <w:gridCol w:w="1412"/>
      </w:tblGrid>
      <w:tr w:rsidR="00014D86" w:rsidRPr="00915905" w14:paraId="7819305C" w14:textId="77777777" w:rsidTr="00B95B92">
        <w:tc>
          <w:tcPr>
            <w:tcW w:w="1415" w:type="dxa"/>
            <w:shd w:val="clear" w:color="auto" w:fill="C0C0C0"/>
          </w:tcPr>
          <w:p w14:paraId="78193056" w14:textId="77777777" w:rsidR="00014D86" w:rsidRPr="00915905" w:rsidRDefault="00014D86" w:rsidP="00B95B92">
            <w:pPr>
              <w:ind w:left="360"/>
              <w:jc w:val="center"/>
              <w:rPr>
                <w:b/>
                <w:color w:val="000000"/>
                <w:szCs w:val="20"/>
              </w:rPr>
            </w:pPr>
            <w:r w:rsidRPr="00915905">
              <w:rPr>
                <w:b/>
                <w:color w:val="000000"/>
                <w:szCs w:val="20"/>
              </w:rPr>
              <w:t>London</w:t>
            </w:r>
          </w:p>
        </w:tc>
        <w:tc>
          <w:tcPr>
            <w:tcW w:w="1409" w:type="dxa"/>
            <w:shd w:val="clear" w:color="auto" w:fill="C0C0C0"/>
          </w:tcPr>
          <w:p w14:paraId="78193057" w14:textId="77777777" w:rsidR="00014D86" w:rsidRPr="00915905" w:rsidRDefault="00014D86" w:rsidP="00B95B92">
            <w:pPr>
              <w:ind w:left="360"/>
              <w:jc w:val="center"/>
              <w:rPr>
                <w:b/>
                <w:color w:val="000000"/>
                <w:szCs w:val="20"/>
              </w:rPr>
            </w:pPr>
            <w:r w:rsidRPr="00915905">
              <w:rPr>
                <w:b/>
                <w:color w:val="000000"/>
                <w:szCs w:val="20"/>
              </w:rPr>
              <w:t xml:space="preserve">Band A </w:t>
            </w:r>
          </w:p>
        </w:tc>
        <w:tc>
          <w:tcPr>
            <w:tcW w:w="1409" w:type="dxa"/>
            <w:shd w:val="clear" w:color="auto" w:fill="C0C0C0"/>
          </w:tcPr>
          <w:p w14:paraId="78193058" w14:textId="77777777" w:rsidR="00014D86" w:rsidRPr="00915905" w:rsidRDefault="00014D86" w:rsidP="00B95B92">
            <w:pPr>
              <w:ind w:left="360"/>
              <w:jc w:val="center"/>
              <w:rPr>
                <w:b/>
                <w:color w:val="000000"/>
                <w:szCs w:val="20"/>
              </w:rPr>
            </w:pPr>
            <w:r w:rsidRPr="00915905">
              <w:rPr>
                <w:b/>
                <w:color w:val="000000"/>
                <w:szCs w:val="20"/>
              </w:rPr>
              <w:t>Band B</w:t>
            </w:r>
          </w:p>
        </w:tc>
        <w:tc>
          <w:tcPr>
            <w:tcW w:w="1409" w:type="dxa"/>
            <w:shd w:val="clear" w:color="auto" w:fill="C0C0C0"/>
          </w:tcPr>
          <w:p w14:paraId="78193059" w14:textId="77777777" w:rsidR="00014D86" w:rsidRPr="00915905" w:rsidRDefault="00014D86" w:rsidP="00B95B92">
            <w:pPr>
              <w:ind w:left="360"/>
              <w:jc w:val="center"/>
              <w:rPr>
                <w:b/>
                <w:color w:val="000000"/>
                <w:szCs w:val="20"/>
              </w:rPr>
            </w:pPr>
            <w:r w:rsidRPr="00915905">
              <w:rPr>
                <w:b/>
                <w:color w:val="000000"/>
                <w:szCs w:val="20"/>
              </w:rPr>
              <w:t>Band C</w:t>
            </w:r>
          </w:p>
        </w:tc>
        <w:tc>
          <w:tcPr>
            <w:tcW w:w="1409" w:type="dxa"/>
            <w:shd w:val="clear" w:color="auto" w:fill="C0C0C0"/>
          </w:tcPr>
          <w:p w14:paraId="7819305A" w14:textId="77777777" w:rsidR="00014D86" w:rsidRPr="00915905" w:rsidRDefault="00014D86" w:rsidP="00B95B92">
            <w:pPr>
              <w:ind w:left="360"/>
              <w:jc w:val="center"/>
              <w:rPr>
                <w:b/>
                <w:color w:val="000000"/>
                <w:szCs w:val="20"/>
              </w:rPr>
            </w:pPr>
            <w:r w:rsidRPr="00915905">
              <w:rPr>
                <w:b/>
                <w:color w:val="000000"/>
                <w:szCs w:val="20"/>
              </w:rPr>
              <w:t>Band D</w:t>
            </w:r>
          </w:p>
        </w:tc>
        <w:tc>
          <w:tcPr>
            <w:tcW w:w="1409" w:type="dxa"/>
            <w:shd w:val="clear" w:color="auto" w:fill="C0C0C0"/>
          </w:tcPr>
          <w:p w14:paraId="7819305B" w14:textId="77777777" w:rsidR="00014D86" w:rsidRPr="00915905" w:rsidRDefault="00014D86" w:rsidP="00B95B92">
            <w:pPr>
              <w:ind w:left="360"/>
              <w:jc w:val="center"/>
              <w:rPr>
                <w:b/>
                <w:color w:val="000000"/>
                <w:szCs w:val="20"/>
              </w:rPr>
            </w:pPr>
            <w:r w:rsidRPr="00915905">
              <w:rPr>
                <w:b/>
                <w:color w:val="000000"/>
                <w:szCs w:val="20"/>
              </w:rPr>
              <w:t>Band E</w:t>
            </w:r>
          </w:p>
        </w:tc>
      </w:tr>
      <w:tr w:rsidR="00014D86" w:rsidRPr="00915905" w14:paraId="78193063" w14:textId="77777777" w:rsidTr="00B95B92">
        <w:tc>
          <w:tcPr>
            <w:tcW w:w="1415" w:type="dxa"/>
            <w:shd w:val="clear" w:color="auto" w:fill="C0C0C0"/>
          </w:tcPr>
          <w:p w14:paraId="7819305D" w14:textId="77777777" w:rsidR="00014D86" w:rsidRPr="00915905" w:rsidRDefault="00014D86" w:rsidP="00B95B92">
            <w:pPr>
              <w:ind w:left="360"/>
              <w:jc w:val="center"/>
              <w:rPr>
                <w:b/>
                <w:color w:val="000000"/>
                <w:szCs w:val="20"/>
              </w:rPr>
            </w:pPr>
            <w:r w:rsidRPr="00915905">
              <w:rPr>
                <w:b/>
                <w:color w:val="000000"/>
                <w:szCs w:val="20"/>
              </w:rPr>
              <w:t>Min</w:t>
            </w:r>
          </w:p>
        </w:tc>
        <w:tc>
          <w:tcPr>
            <w:tcW w:w="1409" w:type="dxa"/>
          </w:tcPr>
          <w:p w14:paraId="7819305E" w14:textId="77777777" w:rsidR="00014D86" w:rsidRPr="00915905" w:rsidRDefault="00014D86" w:rsidP="00B95B92">
            <w:pPr>
              <w:ind w:left="360"/>
              <w:jc w:val="center"/>
              <w:rPr>
                <w:color w:val="000000"/>
                <w:szCs w:val="20"/>
              </w:rPr>
            </w:pPr>
            <w:r w:rsidRPr="00915905">
              <w:rPr>
                <w:color w:val="000000"/>
                <w:szCs w:val="20"/>
              </w:rPr>
              <w:t>£</w:t>
            </w:r>
            <w:r w:rsidR="0050254F" w:rsidRPr="00915905">
              <w:rPr>
                <w:color w:val="000000"/>
                <w:szCs w:val="20"/>
              </w:rPr>
              <w:t>19,750</w:t>
            </w:r>
          </w:p>
        </w:tc>
        <w:tc>
          <w:tcPr>
            <w:tcW w:w="1409" w:type="dxa"/>
          </w:tcPr>
          <w:p w14:paraId="7819305F" w14:textId="77777777" w:rsidR="00014D86" w:rsidRPr="00915905" w:rsidRDefault="00014D86" w:rsidP="00B95B92">
            <w:pPr>
              <w:ind w:left="360"/>
              <w:jc w:val="center"/>
              <w:rPr>
                <w:color w:val="000000"/>
                <w:szCs w:val="20"/>
              </w:rPr>
            </w:pPr>
            <w:r w:rsidRPr="00915905">
              <w:rPr>
                <w:color w:val="000000"/>
                <w:szCs w:val="20"/>
              </w:rPr>
              <w:t>£</w:t>
            </w:r>
            <w:r w:rsidR="0050254F" w:rsidRPr="00915905">
              <w:rPr>
                <w:color w:val="000000"/>
                <w:szCs w:val="20"/>
              </w:rPr>
              <w:t>25,750</w:t>
            </w:r>
          </w:p>
        </w:tc>
        <w:tc>
          <w:tcPr>
            <w:tcW w:w="1409" w:type="dxa"/>
          </w:tcPr>
          <w:p w14:paraId="78193060" w14:textId="77777777" w:rsidR="00014D86" w:rsidRPr="00915905" w:rsidRDefault="00014D86" w:rsidP="00B95B92">
            <w:pPr>
              <w:ind w:left="360"/>
              <w:jc w:val="center"/>
              <w:rPr>
                <w:color w:val="000000"/>
                <w:szCs w:val="20"/>
              </w:rPr>
            </w:pPr>
            <w:r w:rsidRPr="00915905">
              <w:rPr>
                <w:color w:val="000000"/>
                <w:szCs w:val="20"/>
              </w:rPr>
              <w:t>£</w:t>
            </w:r>
            <w:r w:rsidR="0050254F" w:rsidRPr="00915905">
              <w:rPr>
                <w:color w:val="000000"/>
                <w:szCs w:val="20"/>
              </w:rPr>
              <w:t>33,400</w:t>
            </w:r>
          </w:p>
        </w:tc>
        <w:tc>
          <w:tcPr>
            <w:tcW w:w="1409" w:type="dxa"/>
          </w:tcPr>
          <w:p w14:paraId="78193061" w14:textId="77777777" w:rsidR="00014D86" w:rsidRPr="00915905" w:rsidRDefault="00014D86" w:rsidP="00B95B92">
            <w:pPr>
              <w:ind w:left="360"/>
              <w:jc w:val="center"/>
              <w:rPr>
                <w:color w:val="000000"/>
                <w:szCs w:val="20"/>
              </w:rPr>
            </w:pPr>
            <w:r w:rsidRPr="00915905">
              <w:rPr>
                <w:color w:val="000000"/>
                <w:szCs w:val="20"/>
              </w:rPr>
              <w:t>£</w:t>
            </w:r>
            <w:r w:rsidR="0050254F" w:rsidRPr="00915905">
              <w:rPr>
                <w:color w:val="000000"/>
                <w:szCs w:val="20"/>
              </w:rPr>
              <w:t>46,250</w:t>
            </w:r>
          </w:p>
        </w:tc>
        <w:tc>
          <w:tcPr>
            <w:tcW w:w="1409" w:type="dxa"/>
          </w:tcPr>
          <w:p w14:paraId="78193062" w14:textId="77777777" w:rsidR="00014D86" w:rsidRPr="00915905" w:rsidRDefault="00014D86" w:rsidP="00B95B92">
            <w:pPr>
              <w:ind w:left="360"/>
              <w:jc w:val="center"/>
              <w:rPr>
                <w:color w:val="000000"/>
                <w:szCs w:val="20"/>
              </w:rPr>
            </w:pPr>
            <w:r w:rsidRPr="00915905">
              <w:rPr>
                <w:color w:val="000000"/>
                <w:szCs w:val="20"/>
              </w:rPr>
              <w:t>£66,000</w:t>
            </w:r>
          </w:p>
        </w:tc>
      </w:tr>
      <w:tr w:rsidR="00014D86" w:rsidRPr="00915905" w14:paraId="7819306A" w14:textId="77777777" w:rsidTr="00B95B92">
        <w:tc>
          <w:tcPr>
            <w:tcW w:w="1415" w:type="dxa"/>
            <w:shd w:val="clear" w:color="auto" w:fill="C0C0C0"/>
          </w:tcPr>
          <w:p w14:paraId="78193064" w14:textId="77777777" w:rsidR="00014D86" w:rsidRPr="00915905" w:rsidRDefault="00014D86" w:rsidP="00B95B92">
            <w:pPr>
              <w:ind w:left="360"/>
              <w:jc w:val="center"/>
              <w:rPr>
                <w:b/>
                <w:color w:val="000000"/>
                <w:szCs w:val="20"/>
              </w:rPr>
            </w:pPr>
            <w:r w:rsidRPr="00915905">
              <w:rPr>
                <w:b/>
                <w:color w:val="000000"/>
                <w:szCs w:val="20"/>
              </w:rPr>
              <w:t>Mid Point</w:t>
            </w:r>
          </w:p>
        </w:tc>
        <w:tc>
          <w:tcPr>
            <w:tcW w:w="1409" w:type="dxa"/>
          </w:tcPr>
          <w:p w14:paraId="78193065" w14:textId="77777777" w:rsidR="00014D86" w:rsidRPr="00915905" w:rsidRDefault="00014D86" w:rsidP="00B95B92">
            <w:pPr>
              <w:ind w:left="360"/>
              <w:jc w:val="center"/>
              <w:rPr>
                <w:color w:val="000000"/>
                <w:szCs w:val="20"/>
              </w:rPr>
            </w:pPr>
            <w:r w:rsidRPr="00915905">
              <w:rPr>
                <w:color w:val="000000"/>
                <w:szCs w:val="20"/>
              </w:rPr>
              <w:t>£</w:t>
            </w:r>
            <w:r w:rsidR="00CC421F" w:rsidRPr="00915905">
              <w:rPr>
                <w:color w:val="000000"/>
                <w:szCs w:val="20"/>
              </w:rPr>
              <w:t>22,375</w:t>
            </w:r>
          </w:p>
        </w:tc>
        <w:tc>
          <w:tcPr>
            <w:tcW w:w="1409" w:type="dxa"/>
          </w:tcPr>
          <w:p w14:paraId="78193066" w14:textId="77777777" w:rsidR="00014D86" w:rsidRPr="00915905" w:rsidRDefault="00014D86" w:rsidP="00B95B92">
            <w:pPr>
              <w:ind w:left="360"/>
              <w:jc w:val="center"/>
              <w:rPr>
                <w:color w:val="000000"/>
                <w:szCs w:val="20"/>
              </w:rPr>
            </w:pPr>
            <w:r w:rsidRPr="00915905">
              <w:rPr>
                <w:color w:val="000000"/>
                <w:szCs w:val="20"/>
              </w:rPr>
              <w:t>£</w:t>
            </w:r>
            <w:r w:rsidR="00CC421F" w:rsidRPr="00915905">
              <w:rPr>
                <w:color w:val="000000"/>
                <w:szCs w:val="20"/>
              </w:rPr>
              <w:t>28,875</w:t>
            </w:r>
          </w:p>
        </w:tc>
        <w:tc>
          <w:tcPr>
            <w:tcW w:w="1409" w:type="dxa"/>
          </w:tcPr>
          <w:p w14:paraId="78193067" w14:textId="77777777" w:rsidR="00014D86" w:rsidRPr="00915905" w:rsidRDefault="00014D86" w:rsidP="00B95B92">
            <w:pPr>
              <w:ind w:left="360"/>
              <w:jc w:val="center"/>
              <w:rPr>
                <w:color w:val="000000"/>
                <w:szCs w:val="20"/>
              </w:rPr>
            </w:pPr>
            <w:r w:rsidRPr="00915905">
              <w:rPr>
                <w:color w:val="000000"/>
                <w:szCs w:val="20"/>
              </w:rPr>
              <w:t>£</w:t>
            </w:r>
            <w:r w:rsidR="00CC421F" w:rsidRPr="00915905">
              <w:rPr>
                <w:color w:val="000000"/>
                <w:szCs w:val="20"/>
              </w:rPr>
              <w:t>39,550</w:t>
            </w:r>
          </w:p>
        </w:tc>
        <w:tc>
          <w:tcPr>
            <w:tcW w:w="1409" w:type="dxa"/>
          </w:tcPr>
          <w:p w14:paraId="78193068" w14:textId="77777777" w:rsidR="00014D86" w:rsidRPr="00915905" w:rsidRDefault="00014D86" w:rsidP="00B95B92">
            <w:pPr>
              <w:ind w:left="360"/>
              <w:jc w:val="center"/>
              <w:rPr>
                <w:color w:val="000000"/>
                <w:szCs w:val="20"/>
              </w:rPr>
            </w:pPr>
            <w:r w:rsidRPr="00915905">
              <w:rPr>
                <w:color w:val="000000"/>
                <w:szCs w:val="20"/>
              </w:rPr>
              <w:t>£</w:t>
            </w:r>
            <w:r w:rsidR="00CC421F" w:rsidRPr="00915905">
              <w:rPr>
                <w:color w:val="000000"/>
                <w:szCs w:val="20"/>
              </w:rPr>
              <w:t>57,975</w:t>
            </w:r>
          </w:p>
        </w:tc>
        <w:tc>
          <w:tcPr>
            <w:tcW w:w="1409" w:type="dxa"/>
          </w:tcPr>
          <w:p w14:paraId="78193069" w14:textId="77777777" w:rsidR="00014D86" w:rsidRPr="00915905" w:rsidRDefault="00014D86" w:rsidP="00B95B92">
            <w:pPr>
              <w:ind w:left="360"/>
              <w:jc w:val="center"/>
              <w:rPr>
                <w:color w:val="000000"/>
                <w:szCs w:val="20"/>
              </w:rPr>
            </w:pPr>
            <w:r w:rsidRPr="00915905">
              <w:rPr>
                <w:color w:val="000000"/>
                <w:szCs w:val="20"/>
              </w:rPr>
              <w:t>£74,000</w:t>
            </w:r>
          </w:p>
        </w:tc>
      </w:tr>
      <w:tr w:rsidR="00014D86" w:rsidRPr="00915905" w14:paraId="78193071" w14:textId="77777777" w:rsidTr="00B95B92">
        <w:tc>
          <w:tcPr>
            <w:tcW w:w="1415" w:type="dxa"/>
            <w:shd w:val="clear" w:color="auto" w:fill="C0C0C0"/>
          </w:tcPr>
          <w:p w14:paraId="7819306B" w14:textId="77777777" w:rsidR="00014D86" w:rsidRPr="00915905" w:rsidRDefault="00014D86" w:rsidP="00B95B92">
            <w:pPr>
              <w:ind w:left="360"/>
              <w:jc w:val="center"/>
              <w:rPr>
                <w:b/>
                <w:color w:val="000000"/>
                <w:szCs w:val="20"/>
              </w:rPr>
            </w:pPr>
            <w:r w:rsidRPr="00915905">
              <w:rPr>
                <w:b/>
                <w:color w:val="000000"/>
                <w:szCs w:val="20"/>
              </w:rPr>
              <w:t>Max</w:t>
            </w:r>
          </w:p>
        </w:tc>
        <w:tc>
          <w:tcPr>
            <w:tcW w:w="1409" w:type="dxa"/>
          </w:tcPr>
          <w:p w14:paraId="7819306C" w14:textId="77777777" w:rsidR="00014D86" w:rsidRPr="00915905" w:rsidRDefault="00014D86" w:rsidP="00B95B92">
            <w:pPr>
              <w:ind w:left="360"/>
              <w:jc w:val="center"/>
              <w:rPr>
                <w:color w:val="000000"/>
                <w:szCs w:val="20"/>
              </w:rPr>
            </w:pPr>
            <w:r w:rsidRPr="00915905">
              <w:rPr>
                <w:color w:val="000000"/>
                <w:szCs w:val="20"/>
              </w:rPr>
              <w:t>£25,000</w:t>
            </w:r>
          </w:p>
        </w:tc>
        <w:tc>
          <w:tcPr>
            <w:tcW w:w="1409" w:type="dxa"/>
          </w:tcPr>
          <w:p w14:paraId="7819306D" w14:textId="77777777" w:rsidR="00014D86" w:rsidRPr="00915905" w:rsidRDefault="00014D86" w:rsidP="00B95B92">
            <w:pPr>
              <w:ind w:left="360"/>
              <w:jc w:val="center"/>
              <w:rPr>
                <w:color w:val="000000"/>
                <w:szCs w:val="20"/>
              </w:rPr>
            </w:pPr>
            <w:r w:rsidRPr="00915905">
              <w:rPr>
                <w:color w:val="000000"/>
                <w:szCs w:val="20"/>
              </w:rPr>
              <w:t>£32,000</w:t>
            </w:r>
          </w:p>
        </w:tc>
        <w:tc>
          <w:tcPr>
            <w:tcW w:w="1409" w:type="dxa"/>
          </w:tcPr>
          <w:p w14:paraId="7819306E" w14:textId="77777777" w:rsidR="00014D86" w:rsidRPr="00915905" w:rsidRDefault="00014D86" w:rsidP="00B95B92">
            <w:pPr>
              <w:ind w:left="360"/>
              <w:jc w:val="center"/>
              <w:rPr>
                <w:color w:val="000000"/>
                <w:szCs w:val="20"/>
              </w:rPr>
            </w:pPr>
            <w:r w:rsidRPr="00915905">
              <w:rPr>
                <w:color w:val="000000"/>
                <w:szCs w:val="20"/>
              </w:rPr>
              <w:t>£45,700</w:t>
            </w:r>
          </w:p>
        </w:tc>
        <w:tc>
          <w:tcPr>
            <w:tcW w:w="1409" w:type="dxa"/>
          </w:tcPr>
          <w:p w14:paraId="7819306F" w14:textId="77777777" w:rsidR="00014D86" w:rsidRPr="00915905" w:rsidRDefault="00014D86" w:rsidP="00B95B92">
            <w:pPr>
              <w:ind w:left="360"/>
              <w:jc w:val="center"/>
              <w:rPr>
                <w:color w:val="000000"/>
                <w:szCs w:val="20"/>
              </w:rPr>
            </w:pPr>
            <w:r w:rsidRPr="00915905">
              <w:rPr>
                <w:color w:val="000000"/>
                <w:szCs w:val="20"/>
              </w:rPr>
              <w:t>£69,700</w:t>
            </w:r>
          </w:p>
        </w:tc>
        <w:tc>
          <w:tcPr>
            <w:tcW w:w="1409" w:type="dxa"/>
          </w:tcPr>
          <w:p w14:paraId="78193070" w14:textId="77777777" w:rsidR="00014D86" w:rsidRPr="00915905" w:rsidRDefault="00014D86" w:rsidP="00B95B92">
            <w:pPr>
              <w:ind w:left="360"/>
              <w:jc w:val="center"/>
              <w:rPr>
                <w:color w:val="000000"/>
                <w:szCs w:val="20"/>
              </w:rPr>
            </w:pPr>
            <w:r w:rsidRPr="00915905">
              <w:rPr>
                <w:color w:val="000000"/>
                <w:szCs w:val="20"/>
              </w:rPr>
              <w:t>£82,000</w:t>
            </w:r>
          </w:p>
        </w:tc>
      </w:tr>
    </w:tbl>
    <w:p w14:paraId="78193072" w14:textId="77777777" w:rsidR="00014D86" w:rsidRPr="00915905" w:rsidRDefault="00014D86" w:rsidP="00B95B92">
      <w:pPr>
        <w:ind w:left="360"/>
        <w:jc w:val="both"/>
        <w:rPr>
          <w:color w:val="000000"/>
          <w:szCs w:val="20"/>
          <w:highlight w:val="yellow"/>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1412"/>
        <w:gridCol w:w="1412"/>
        <w:gridCol w:w="1412"/>
        <w:gridCol w:w="1412"/>
        <w:gridCol w:w="1412"/>
      </w:tblGrid>
      <w:tr w:rsidR="00014D86" w:rsidRPr="00915905" w14:paraId="78193079" w14:textId="77777777" w:rsidTr="00915905">
        <w:tc>
          <w:tcPr>
            <w:tcW w:w="1521" w:type="dxa"/>
            <w:shd w:val="clear" w:color="auto" w:fill="C0C0C0"/>
          </w:tcPr>
          <w:p w14:paraId="78193073" w14:textId="77777777" w:rsidR="00014D86" w:rsidRPr="00915905" w:rsidRDefault="008F0BEA" w:rsidP="00B95B92">
            <w:pPr>
              <w:ind w:left="360"/>
              <w:jc w:val="center"/>
              <w:rPr>
                <w:b/>
                <w:color w:val="000000"/>
                <w:szCs w:val="20"/>
              </w:rPr>
            </w:pPr>
            <w:r w:rsidRPr="00915905">
              <w:rPr>
                <w:color w:val="000000"/>
                <w:szCs w:val="20"/>
                <w:highlight w:val="yellow"/>
              </w:rPr>
              <w:br w:type="page"/>
            </w:r>
            <w:r w:rsidR="00014D86" w:rsidRPr="00915905">
              <w:rPr>
                <w:b/>
                <w:color w:val="000000"/>
                <w:szCs w:val="20"/>
              </w:rPr>
              <w:t>National</w:t>
            </w:r>
          </w:p>
        </w:tc>
        <w:tc>
          <w:tcPr>
            <w:tcW w:w="1412" w:type="dxa"/>
            <w:shd w:val="clear" w:color="auto" w:fill="C0C0C0"/>
          </w:tcPr>
          <w:p w14:paraId="78193074" w14:textId="77777777" w:rsidR="00014D86" w:rsidRPr="00915905" w:rsidRDefault="00014D86" w:rsidP="00B95B92">
            <w:pPr>
              <w:ind w:left="360"/>
              <w:jc w:val="center"/>
              <w:rPr>
                <w:b/>
                <w:color w:val="000000"/>
                <w:szCs w:val="20"/>
              </w:rPr>
            </w:pPr>
            <w:r w:rsidRPr="00915905">
              <w:rPr>
                <w:b/>
                <w:color w:val="000000"/>
                <w:szCs w:val="20"/>
              </w:rPr>
              <w:t>Band A</w:t>
            </w:r>
          </w:p>
        </w:tc>
        <w:tc>
          <w:tcPr>
            <w:tcW w:w="1412" w:type="dxa"/>
            <w:shd w:val="clear" w:color="auto" w:fill="C0C0C0"/>
          </w:tcPr>
          <w:p w14:paraId="78193075" w14:textId="77777777" w:rsidR="00014D86" w:rsidRPr="00915905" w:rsidRDefault="00014D86" w:rsidP="00B95B92">
            <w:pPr>
              <w:ind w:left="360"/>
              <w:jc w:val="center"/>
              <w:rPr>
                <w:b/>
                <w:color w:val="000000"/>
                <w:szCs w:val="20"/>
              </w:rPr>
            </w:pPr>
            <w:r w:rsidRPr="00915905">
              <w:rPr>
                <w:b/>
                <w:color w:val="000000"/>
                <w:szCs w:val="20"/>
              </w:rPr>
              <w:t>Band B</w:t>
            </w:r>
          </w:p>
        </w:tc>
        <w:tc>
          <w:tcPr>
            <w:tcW w:w="1412" w:type="dxa"/>
            <w:shd w:val="clear" w:color="auto" w:fill="C0C0C0"/>
          </w:tcPr>
          <w:p w14:paraId="78193076" w14:textId="77777777" w:rsidR="00014D86" w:rsidRPr="00915905" w:rsidRDefault="00014D86" w:rsidP="00B95B92">
            <w:pPr>
              <w:ind w:left="360"/>
              <w:jc w:val="center"/>
              <w:rPr>
                <w:b/>
                <w:color w:val="000000"/>
                <w:szCs w:val="20"/>
              </w:rPr>
            </w:pPr>
            <w:r w:rsidRPr="00915905">
              <w:rPr>
                <w:b/>
                <w:color w:val="000000"/>
                <w:szCs w:val="20"/>
              </w:rPr>
              <w:t>Band C</w:t>
            </w:r>
          </w:p>
        </w:tc>
        <w:tc>
          <w:tcPr>
            <w:tcW w:w="1412" w:type="dxa"/>
            <w:shd w:val="clear" w:color="auto" w:fill="C0C0C0"/>
          </w:tcPr>
          <w:p w14:paraId="78193077" w14:textId="77777777" w:rsidR="00014D86" w:rsidRPr="00915905" w:rsidRDefault="00014D86" w:rsidP="00B95B92">
            <w:pPr>
              <w:ind w:left="360"/>
              <w:jc w:val="center"/>
              <w:rPr>
                <w:b/>
                <w:color w:val="000000"/>
                <w:szCs w:val="20"/>
              </w:rPr>
            </w:pPr>
            <w:r w:rsidRPr="00915905">
              <w:rPr>
                <w:b/>
                <w:color w:val="000000"/>
                <w:szCs w:val="20"/>
              </w:rPr>
              <w:t>Band D</w:t>
            </w:r>
          </w:p>
        </w:tc>
        <w:tc>
          <w:tcPr>
            <w:tcW w:w="1412" w:type="dxa"/>
            <w:shd w:val="clear" w:color="auto" w:fill="C0C0C0"/>
          </w:tcPr>
          <w:p w14:paraId="78193078" w14:textId="77777777" w:rsidR="00014D86" w:rsidRPr="00915905" w:rsidRDefault="00014D86" w:rsidP="00B95B92">
            <w:pPr>
              <w:ind w:left="360"/>
              <w:jc w:val="center"/>
              <w:rPr>
                <w:b/>
                <w:color w:val="000000"/>
                <w:szCs w:val="20"/>
              </w:rPr>
            </w:pPr>
            <w:r w:rsidRPr="00915905">
              <w:rPr>
                <w:b/>
                <w:color w:val="000000"/>
                <w:szCs w:val="20"/>
              </w:rPr>
              <w:t>Band E</w:t>
            </w:r>
          </w:p>
        </w:tc>
      </w:tr>
      <w:tr w:rsidR="00014D86" w:rsidRPr="00915905" w14:paraId="78193080" w14:textId="77777777" w:rsidTr="00915905">
        <w:tc>
          <w:tcPr>
            <w:tcW w:w="1521" w:type="dxa"/>
            <w:shd w:val="clear" w:color="auto" w:fill="C0C0C0"/>
          </w:tcPr>
          <w:p w14:paraId="7819307A" w14:textId="77777777" w:rsidR="00014D86" w:rsidRPr="00915905" w:rsidRDefault="00014D86" w:rsidP="00B95B92">
            <w:pPr>
              <w:ind w:left="360"/>
              <w:jc w:val="center"/>
              <w:rPr>
                <w:b/>
                <w:color w:val="000000"/>
                <w:szCs w:val="20"/>
              </w:rPr>
            </w:pPr>
            <w:r w:rsidRPr="00915905">
              <w:rPr>
                <w:b/>
                <w:color w:val="000000"/>
                <w:szCs w:val="20"/>
              </w:rPr>
              <w:t>Min</w:t>
            </w:r>
          </w:p>
        </w:tc>
        <w:tc>
          <w:tcPr>
            <w:tcW w:w="1412" w:type="dxa"/>
          </w:tcPr>
          <w:p w14:paraId="7819307B" w14:textId="77777777" w:rsidR="00014D86" w:rsidRPr="00915905" w:rsidRDefault="00014D86" w:rsidP="00B95B92">
            <w:pPr>
              <w:ind w:left="360"/>
              <w:jc w:val="center"/>
              <w:rPr>
                <w:color w:val="000000"/>
                <w:szCs w:val="20"/>
              </w:rPr>
            </w:pPr>
            <w:r w:rsidRPr="00915905">
              <w:rPr>
                <w:color w:val="000000"/>
                <w:szCs w:val="20"/>
              </w:rPr>
              <w:t>£</w:t>
            </w:r>
            <w:r w:rsidR="00CC421F" w:rsidRPr="00915905">
              <w:rPr>
                <w:color w:val="000000"/>
                <w:szCs w:val="20"/>
              </w:rPr>
              <w:t>17,900</w:t>
            </w:r>
          </w:p>
        </w:tc>
        <w:tc>
          <w:tcPr>
            <w:tcW w:w="1412" w:type="dxa"/>
          </w:tcPr>
          <w:p w14:paraId="7819307C" w14:textId="77777777" w:rsidR="00014D86" w:rsidRPr="00915905" w:rsidRDefault="00014D86" w:rsidP="00B95B92">
            <w:pPr>
              <w:ind w:left="360"/>
              <w:jc w:val="center"/>
              <w:rPr>
                <w:color w:val="000000"/>
                <w:szCs w:val="20"/>
              </w:rPr>
            </w:pPr>
            <w:r w:rsidRPr="00915905">
              <w:rPr>
                <w:color w:val="000000"/>
                <w:szCs w:val="20"/>
              </w:rPr>
              <w:t>£</w:t>
            </w:r>
            <w:r w:rsidR="00CC421F" w:rsidRPr="00915905">
              <w:rPr>
                <w:color w:val="000000"/>
                <w:szCs w:val="20"/>
              </w:rPr>
              <w:t>23,450</w:t>
            </w:r>
          </w:p>
        </w:tc>
        <w:tc>
          <w:tcPr>
            <w:tcW w:w="1412" w:type="dxa"/>
          </w:tcPr>
          <w:p w14:paraId="7819307D" w14:textId="77777777" w:rsidR="00014D86" w:rsidRPr="00915905" w:rsidRDefault="00014D86" w:rsidP="00B95B92">
            <w:pPr>
              <w:ind w:left="360"/>
              <w:jc w:val="center"/>
              <w:rPr>
                <w:color w:val="000000"/>
                <w:szCs w:val="20"/>
              </w:rPr>
            </w:pPr>
            <w:r w:rsidRPr="00915905">
              <w:rPr>
                <w:color w:val="000000"/>
                <w:szCs w:val="20"/>
              </w:rPr>
              <w:t>£</w:t>
            </w:r>
            <w:r w:rsidR="00CC421F" w:rsidRPr="00915905">
              <w:rPr>
                <w:color w:val="000000"/>
                <w:szCs w:val="20"/>
              </w:rPr>
              <w:t>30,950</w:t>
            </w:r>
          </w:p>
        </w:tc>
        <w:tc>
          <w:tcPr>
            <w:tcW w:w="1412" w:type="dxa"/>
          </w:tcPr>
          <w:p w14:paraId="7819307E" w14:textId="77777777" w:rsidR="00014D86" w:rsidRPr="00915905" w:rsidRDefault="00014D86" w:rsidP="00B95B92">
            <w:pPr>
              <w:ind w:left="360"/>
              <w:jc w:val="center"/>
              <w:rPr>
                <w:color w:val="000000"/>
                <w:szCs w:val="20"/>
              </w:rPr>
            </w:pPr>
            <w:r w:rsidRPr="00915905">
              <w:rPr>
                <w:color w:val="000000"/>
                <w:szCs w:val="20"/>
              </w:rPr>
              <w:t>£</w:t>
            </w:r>
            <w:r w:rsidR="00CC421F" w:rsidRPr="00915905">
              <w:rPr>
                <w:color w:val="000000"/>
                <w:szCs w:val="20"/>
              </w:rPr>
              <w:t>43,650</w:t>
            </w:r>
          </w:p>
        </w:tc>
        <w:tc>
          <w:tcPr>
            <w:tcW w:w="1412" w:type="dxa"/>
          </w:tcPr>
          <w:p w14:paraId="7819307F" w14:textId="77777777" w:rsidR="00014D86" w:rsidRPr="00915905" w:rsidRDefault="00014D86" w:rsidP="00B95B92">
            <w:pPr>
              <w:ind w:left="360"/>
              <w:jc w:val="center"/>
              <w:rPr>
                <w:color w:val="000000"/>
                <w:szCs w:val="20"/>
              </w:rPr>
            </w:pPr>
            <w:r w:rsidRPr="00915905">
              <w:rPr>
                <w:color w:val="000000"/>
                <w:szCs w:val="20"/>
              </w:rPr>
              <w:t>£60,600</w:t>
            </w:r>
          </w:p>
        </w:tc>
      </w:tr>
      <w:tr w:rsidR="00014D86" w:rsidRPr="00915905" w14:paraId="78193087" w14:textId="77777777" w:rsidTr="00915905">
        <w:tc>
          <w:tcPr>
            <w:tcW w:w="1521" w:type="dxa"/>
            <w:shd w:val="clear" w:color="auto" w:fill="C0C0C0"/>
          </w:tcPr>
          <w:p w14:paraId="78193081" w14:textId="77777777" w:rsidR="00014D86" w:rsidRPr="00915905" w:rsidRDefault="00014D86" w:rsidP="00B95B92">
            <w:pPr>
              <w:ind w:left="360"/>
              <w:jc w:val="center"/>
              <w:rPr>
                <w:b/>
                <w:color w:val="000000"/>
                <w:szCs w:val="20"/>
              </w:rPr>
            </w:pPr>
            <w:r w:rsidRPr="00915905">
              <w:rPr>
                <w:b/>
                <w:color w:val="000000"/>
                <w:szCs w:val="20"/>
              </w:rPr>
              <w:t>Mid Point</w:t>
            </w:r>
          </w:p>
        </w:tc>
        <w:tc>
          <w:tcPr>
            <w:tcW w:w="1412" w:type="dxa"/>
          </w:tcPr>
          <w:p w14:paraId="78193082" w14:textId="77777777" w:rsidR="00014D86" w:rsidRPr="00915905" w:rsidRDefault="00014D86" w:rsidP="00B95B92">
            <w:pPr>
              <w:ind w:left="360"/>
              <w:jc w:val="center"/>
              <w:rPr>
                <w:color w:val="000000"/>
                <w:szCs w:val="20"/>
              </w:rPr>
            </w:pPr>
            <w:r w:rsidRPr="00915905">
              <w:rPr>
                <w:color w:val="000000"/>
                <w:szCs w:val="20"/>
              </w:rPr>
              <w:t>£</w:t>
            </w:r>
            <w:r w:rsidR="00CC421F" w:rsidRPr="00915905">
              <w:rPr>
                <w:color w:val="000000"/>
                <w:szCs w:val="20"/>
              </w:rPr>
              <w:t>20,315</w:t>
            </w:r>
          </w:p>
        </w:tc>
        <w:tc>
          <w:tcPr>
            <w:tcW w:w="1412" w:type="dxa"/>
          </w:tcPr>
          <w:p w14:paraId="78193083" w14:textId="77777777" w:rsidR="00014D86" w:rsidRPr="00915905" w:rsidRDefault="00014D86" w:rsidP="00915905">
            <w:pPr>
              <w:ind w:left="360"/>
              <w:jc w:val="center"/>
              <w:rPr>
                <w:color w:val="000000"/>
                <w:szCs w:val="20"/>
              </w:rPr>
            </w:pPr>
            <w:r w:rsidRPr="00915905">
              <w:rPr>
                <w:color w:val="000000"/>
                <w:szCs w:val="20"/>
              </w:rPr>
              <w:t>£</w:t>
            </w:r>
            <w:r w:rsidR="00915905" w:rsidRPr="00915905">
              <w:rPr>
                <w:color w:val="000000"/>
                <w:szCs w:val="20"/>
              </w:rPr>
              <w:t>25,595</w:t>
            </w:r>
          </w:p>
        </w:tc>
        <w:tc>
          <w:tcPr>
            <w:tcW w:w="1412" w:type="dxa"/>
          </w:tcPr>
          <w:p w14:paraId="78193084" w14:textId="77777777" w:rsidR="00014D86" w:rsidRPr="00915905" w:rsidRDefault="00014D86" w:rsidP="00B95B92">
            <w:pPr>
              <w:ind w:left="360"/>
              <w:jc w:val="center"/>
              <w:rPr>
                <w:color w:val="000000"/>
                <w:szCs w:val="20"/>
              </w:rPr>
            </w:pPr>
            <w:r w:rsidRPr="00915905">
              <w:rPr>
                <w:color w:val="000000"/>
                <w:szCs w:val="20"/>
              </w:rPr>
              <w:t>£</w:t>
            </w:r>
            <w:r w:rsidR="00CC421F" w:rsidRPr="00915905">
              <w:rPr>
                <w:color w:val="000000"/>
                <w:szCs w:val="20"/>
              </w:rPr>
              <w:t>36,670</w:t>
            </w:r>
          </w:p>
        </w:tc>
        <w:tc>
          <w:tcPr>
            <w:tcW w:w="1412" w:type="dxa"/>
          </w:tcPr>
          <w:p w14:paraId="78193085" w14:textId="77777777" w:rsidR="00014D86" w:rsidRPr="00915905" w:rsidRDefault="00014D86" w:rsidP="00B95B92">
            <w:pPr>
              <w:ind w:left="360"/>
              <w:jc w:val="center"/>
              <w:rPr>
                <w:color w:val="000000"/>
                <w:szCs w:val="20"/>
              </w:rPr>
            </w:pPr>
            <w:r w:rsidRPr="00915905">
              <w:rPr>
                <w:color w:val="000000"/>
                <w:szCs w:val="20"/>
              </w:rPr>
              <w:t>£</w:t>
            </w:r>
            <w:r w:rsidR="00CC421F" w:rsidRPr="00915905">
              <w:rPr>
                <w:color w:val="000000"/>
                <w:szCs w:val="20"/>
              </w:rPr>
              <w:t>53,825</w:t>
            </w:r>
          </w:p>
        </w:tc>
        <w:tc>
          <w:tcPr>
            <w:tcW w:w="1412" w:type="dxa"/>
          </w:tcPr>
          <w:p w14:paraId="78193086" w14:textId="77777777" w:rsidR="00014D86" w:rsidRPr="00915905" w:rsidRDefault="00014D86" w:rsidP="00B95B92">
            <w:pPr>
              <w:ind w:left="360"/>
              <w:jc w:val="center"/>
              <w:rPr>
                <w:color w:val="000000"/>
                <w:szCs w:val="20"/>
              </w:rPr>
            </w:pPr>
            <w:r w:rsidRPr="00915905">
              <w:rPr>
                <w:color w:val="000000"/>
                <w:szCs w:val="20"/>
              </w:rPr>
              <w:t>£68,400</w:t>
            </w:r>
          </w:p>
        </w:tc>
      </w:tr>
      <w:tr w:rsidR="00014D86" w:rsidRPr="00915905" w14:paraId="7819308E" w14:textId="77777777" w:rsidTr="00915905">
        <w:tc>
          <w:tcPr>
            <w:tcW w:w="1521" w:type="dxa"/>
            <w:shd w:val="clear" w:color="auto" w:fill="C0C0C0"/>
          </w:tcPr>
          <w:p w14:paraId="78193088" w14:textId="77777777" w:rsidR="00014D86" w:rsidRPr="00915905" w:rsidRDefault="00014D86" w:rsidP="00B95B92">
            <w:pPr>
              <w:ind w:left="360"/>
              <w:jc w:val="center"/>
              <w:rPr>
                <w:b/>
                <w:color w:val="000000"/>
                <w:szCs w:val="20"/>
              </w:rPr>
            </w:pPr>
            <w:r w:rsidRPr="00915905">
              <w:rPr>
                <w:b/>
                <w:color w:val="000000"/>
                <w:szCs w:val="20"/>
              </w:rPr>
              <w:t>Max</w:t>
            </w:r>
          </w:p>
        </w:tc>
        <w:tc>
          <w:tcPr>
            <w:tcW w:w="1412" w:type="dxa"/>
          </w:tcPr>
          <w:p w14:paraId="78193089" w14:textId="77777777" w:rsidR="00014D86" w:rsidRPr="00915905" w:rsidRDefault="00014D86" w:rsidP="00B95B92">
            <w:pPr>
              <w:ind w:left="360"/>
              <w:jc w:val="center"/>
              <w:rPr>
                <w:color w:val="000000"/>
                <w:szCs w:val="20"/>
              </w:rPr>
            </w:pPr>
            <w:r w:rsidRPr="00915905">
              <w:rPr>
                <w:color w:val="000000"/>
                <w:szCs w:val="20"/>
              </w:rPr>
              <w:t>£22,730</w:t>
            </w:r>
          </w:p>
        </w:tc>
        <w:tc>
          <w:tcPr>
            <w:tcW w:w="1412" w:type="dxa"/>
          </w:tcPr>
          <w:p w14:paraId="7819308A" w14:textId="77777777" w:rsidR="00014D86" w:rsidRPr="00915905" w:rsidRDefault="00014D86" w:rsidP="00B95B92">
            <w:pPr>
              <w:ind w:left="360"/>
              <w:jc w:val="center"/>
              <w:rPr>
                <w:color w:val="000000"/>
                <w:szCs w:val="20"/>
              </w:rPr>
            </w:pPr>
            <w:r w:rsidRPr="00915905">
              <w:rPr>
                <w:color w:val="000000"/>
                <w:szCs w:val="20"/>
              </w:rPr>
              <w:t>£29,090</w:t>
            </w:r>
          </w:p>
        </w:tc>
        <w:tc>
          <w:tcPr>
            <w:tcW w:w="1412" w:type="dxa"/>
          </w:tcPr>
          <w:p w14:paraId="7819308B" w14:textId="77777777" w:rsidR="00014D86" w:rsidRPr="00915905" w:rsidRDefault="00014D86" w:rsidP="00B95B92">
            <w:pPr>
              <w:ind w:left="360"/>
              <w:jc w:val="center"/>
              <w:rPr>
                <w:color w:val="000000"/>
                <w:szCs w:val="20"/>
              </w:rPr>
            </w:pPr>
            <w:r w:rsidRPr="00915905">
              <w:rPr>
                <w:color w:val="000000"/>
                <w:szCs w:val="20"/>
              </w:rPr>
              <w:t>£42,390</w:t>
            </w:r>
          </w:p>
        </w:tc>
        <w:tc>
          <w:tcPr>
            <w:tcW w:w="1412" w:type="dxa"/>
          </w:tcPr>
          <w:p w14:paraId="7819308C" w14:textId="77777777" w:rsidR="00014D86" w:rsidRPr="00915905" w:rsidRDefault="00014D86" w:rsidP="00B95B92">
            <w:pPr>
              <w:ind w:left="360"/>
              <w:jc w:val="center"/>
              <w:rPr>
                <w:color w:val="000000"/>
                <w:szCs w:val="20"/>
              </w:rPr>
            </w:pPr>
            <w:r w:rsidRPr="00915905">
              <w:rPr>
                <w:color w:val="000000"/>
                <w:szCs w:val="20"/>
              </w:rPr>
              <w:t>£64,000</w:t>
            </w:r>
          </w:p>
        </w:tc>
        <w:tc>
          <w:tcPr>
            <w:tcW w:w="1412" w:type="dxa"/>
          </w:tcPr>
          <w:p w14:paraId="7819308D" w14:textId="77777777" w:rsidR="00014D86" w:rsidRPr="00915905" w:rsidRDefault="00014D86" w:rsidP="00B95B92">
            <w:pPr>
              <w:ind w:left="360"/>
              <w:jc w:val="center"/>
              <w:rPr>
                <w:color w:val="000000"/>
                <w:szCs w:val="20"/>
              </w:rPr>
            </w:pPr>
            <w:r w:rsidRPr="00915905">
              <w:rPr>
                <w:color w:val="000000"/>
                <w:szCs w:val="20"/>
              </w:rPr>
              <w:t>£76,200</w:t>
            </w:r>
          </w:p>
        </w:tc>
      </w:tr>
    </w:tbl>
    <w:p w14:paraId="7819308F" w14:textId="77777777" w:rsidR="00014D86" w:rsidRPr="00915905" w:rsidRDefault="00014D86" w:rsidP="00B95B92">
      <w:pPr>
        <w:ind w:left="360"/>
        <w:jc w:val="both"/>
        <w:rPr>
          <w:szCs w:val="20"/>
        </w:rPr>
      </w:pPr>
    </w:p>
    <w:p w14:paraId="78193090" w14:textId="77777777" w:rsidR="00014D86" w:rsidRPr="00915905" w:rsidRDefault="00014D86" w:rsidP="00B95B92">
      <w:pPr>
        <w:ind w:left="360"/>
        <w:jc w:val="both"/>
        <w:rPr>
          <w:szCs w:val="20"/>
        </w:rPr>
      </w:pPr>
    </w:p>
    <w:p w14:paraId="78193091" w14:textId="77777777" w:rsidR="00787646" w:rsidRPr="00FF0C65" w:rsidRDefault="00787646" w:rsidP="00B95B92">
      <w:pPr>
        <w:jc w:val="both"/>
        <w:rPr>
          <w:szCs w:val="20"/>
        </w:rPr>
      </w:pPr>
    </w:p>
    <w:p w14:paraId="78193092" w14:textId="77777777" w:rsidR="00787646" w:rsidRPr="0061469A" w:rsidRDefault="0061469A" w:rsidP="00915905">
      <w:pPr>
        <w:pStyle w:val="ListParagraph"/>
        <w:numPr>
          <w:ilvl w:val="0"/>
          <w:numId w:val="28"/>
        </w:numPr>
        <w:rPr>
          <w:rFonts w:ascii="Verdana" w:hAnsi="Verdana"/>
          <w:b/>
          <w:color w:val="000000"/>
          <w:sz w:val="20"/>
          <w:u w:val="single"/>
        </w:rPr>
      </w:pPr>
      <w:r>
        <w:rPr>
          <w:b/>
          <w:color w:val="000000"/>
        </w:rPr>
        <w:t xml:space="preserve">     </w:t>
      </w:r>
      <w:r w:rsidR="00787646" w:rsidRPr="0061469A">
        <w:rPr>
          <w:rFonts w:ascii="Verdana" w:hAnsi="Verdana"/>
          <w:b/>
          <w:color w:val="000000"/>
          <w:sz w:val="20"/>
          <w:u w:val="single"/>
        </w:rPr>
        <w:t>Who is eligible to receive the Pay Award</w:t>
      </w:r>
      <w:r w:rsidR="00AF3C4E" w:rsidRPr="0061469A">
        <w:rPr>
          <w:rFonts w:ascii="Verdana" w:hAnsi="Verdana"/>
          <w:b/>
          <w:color w:val="000000"/>
          <w:sz w:val="20"/>
          <w:u w:val="single"/>
        </w:rPr>
        <w:t>/Performance related payment</w:t>
      </w:r>
      <w:r w:rsidR="00915905" w:rsidRPr="0061469A">
        <w:rPr>
          <w:rFonts w:ascii="Verdana" w:hAnsi="Verdana"/>
          <w:b/>
          <w:color w:val="000000"/>
          <w:sz w:val="20"/>
          <w:u w:val="single"/>
        </w:rPr>
        <w:t>s</w:t>
      </w:r>
      <w:r w:rsidR="00787646" w:rsidRPr="0061469A">
        <w:rPr>
          <w:rFonts w:ascii="Verdana" w:hAnsi="Verdana"/>
          <w:b/>
          <w:color w:val="000000"/>
          <w:sz w:val="20"/>
          <w:u w:val="single"/>
        </w:rPr>
        <w:t>?</w:t>
      </w:r>
    </w:p>
    <w:p w14:paraId="78193093" w14:textId="77777777" w:rsidR="00787646" w:rsidRPr="00915905" w:rsidRDefault="00787646" w:rsidP="00B95B92">
      <w:pPr>
        <w:rPr>
          <w:b/>
          <w:color w:val="000000"/>
          <w:szCs w:val="20"/>
          <w:u w:val="single"/>
        </w:rPr>
      </w:pPr>
    </w:p>
    <w:p w14:paraId="78193094" w14:textId="77777777" w:rsidR="00915905" w:rsidRPr="00761C04" w:rsidRDefault="00787646" w:rsidP="00915905">
      <w:pPr>
        <w:pStyle w:val="ListParagraph"/>
        <w:numPr>
          <w:ilvl w:val="1"/>
          <w:numId w:val="28"/>
        </w:numPr>
        <w:rPr>
          <w:rFonts w:ascii="Verdana" w:hAnsi="Verdana"/>
          <w:b/>
          <w:sz w:val="20"/>
        </w:rPr>
      </w:pPr>
      <w:r w:rsidRPr="00915905">
        <w:rPr>
          <w:rFonts w:ascii="Verdana" w:hAnsi="Verdana"/>
          <w:color w:val="000000"/>
          <w:sz w:val="20"/>
        </w:rPr>
        <w:t xml:space="preserve">Please note that </w:t>
      </w:r>
      <w:r w:rsidRPr="00915905">
        <w:rPr>
          <w:rFonts w:ascii="Verdana" w:hAnsi="Verdana"/>
          <w:b/>
          <w:color w:val="000000"/>
          <w:sz w:val="20"/>
          <w:u w:val="single"/>
        </w:rPr>
        <w:t>not</w:t>
      </w:r>
      <w:r w:rsidRPr="00915905">
        <w:rPr>
          <w:rFonts w:ascii="Verdana" w:hAnsi="Verdana"/>
          <w:color w:val="000000"/>
          <w:sz w:val="20"/>
        </w:rPr>
        <w:t xml:space="preserve"> all employees are eligible to receive a pay </w:t>
      </w:r>
      <w:r w:rsidR="00AF3C4E" w:rsidRPr="00915905">
        <w:rPr>
          <w:rFonts w:ascii="Verdana" w:hAnsi="Verdana"/>
          <w:color w:val="000000"/>
          <w:sz w:val="20"/>
        </w:rPr>
        <w:t>award</w:t>
      </w:r>
      <w:r w:rsidR="006D3F21">
        <w:rPr>
          <w:rFonts w:ascii="Verdana" w:hAnsi="Verdana"/>
          <w:color w:val="000000"/>
          <w:sz w:val="20"/>
        </w:rPr>
        <w:t xml:space="preserve"> and/or a performance payment</w:t>
      </w:r>
      <w:r w:rsidRPr="00915905">
        <w:rPr>
          <w:rFonts w:ascii="Verdana" w:hAnsi="Verdana"/>
          <w:color w:val="000000"/>
          <w:sz w:val="20"/>
        </w:rPr>
        <w:t xml:space="preserve">. This will </w:t>
      </w:r>
      <w:r w:rsidRPr="00915905">
        <w:rPr>
          <w:rFonts w:ascii="Verdana" w:hAnsi="Verdana"/>
          <w:sz w:val="20"/>
        </w:rPr>
        <w:t xml:space="preserve">be dependent on a number of factors such as the date you commenced with Ofgem or whether an employee has reached the maximum of the band. </w:t>
      </w:r>
      <w:r w:rsidR="008F0BEA" w:rsidRPr="00915905">
        <w:rPr>
          <w:rFonts w:ascii="Verdana" w:hAnsi="Verdana"/>
          <w:sz w:val="20"/>
        </w:rPr>
        <w:t xml:space="preserve">Further details of who is eligible to receive a pay award are contained </w:t>
      </w:r>
      <w:r w:rsidR="008F0BEA" w:rsidRPr="00761C04">
        <w:rPr>
          <w:rFonts w:ascii="Verdana" w:hAnsi="Verdana"/>
          <w:b/>
          <w:sz w:val="20"/>
        </w:rPr>
        <w:t>in the FAQ at the end of this notice.</w:t>
      </w:r>
    </w:p>
    <w:p w14:paraId="78193095" w14:textId="77777777" w:rsidR="00915905" w:rsidRPr="00761C04" w:rsidRDefault="00915905" w:rsidP="00915905">
      <w:pPr>
        <w:rPr>
          <w:b/>
          <w:szCs w:val="20"/>
        </w:rPr>
      </w:pPr>
    </w:p>
    <w:p w14:paraId="78193096" w14:textId="77777777" w:rsidR="00761C04" w:rsidRDefault="00787646" w:rsidP="00761C04">
      <w:pPr>
        <w:pStyle w:val="ListParagraph"/>
        <w:numPr>
          <w:ilvl w:val="1"/>
          <w:numId w:val="28"/>
        </w:numPr>
        <w:rPr>
          <w:rFonts w:ascii="Verdana" w:hAnsi="Verdana"/>
          <w:sz w:val="20"/>
        </w:rPr>
      </w:pPr>
      <w:r w:rsidRPr="00915905">
        <w:rPr>
          <w:rFonts w:ascii="Verdana" w:hAnsi="Verdana"/>
          <w:sz w:val="20"/>
        </w:rPr>
        <w:t>Graduate Trainee</w:t>
      </w:r>
      <w:r w:rsidR="0055445B" w:rsidRPr="00915905">
        <w:rPr>
          <w:rFonts w:ascii="Verdana" w:hAnsi="Verdana"/>
          <w:sz w:val="20"/>
        </w:rPr>
        <w:t>s</w:t>
      </w:r>
      <w:r w:rsidRPr="00915905">
        <w:rPr>
          <w:rFonts w:ascii="Verdana" w:hAnsi="Verdana"/>
          <w:sz w:val="20"/>
        </w:rPr>
        <w:t xml:space="preserve"> </w:t>
      </w:r>
      <w:r w:rsidR="0055445B" w:rsidRPr="00915905">
        <w:rPr>
          <w:rFonts w:ascii="Verdana" w:hAnsi="Verdana"/>
          <w:sz w:val="20"/>
        </w:rPr>
        <w:t>are considered separately under the Graduate Scheme</w:t>
      </w:r>
      <w:r w:rsidRPr="00915905">
        <w:rPr>
          <w:rFonts w:ascii="Verdana" w:hAnsi="Verdana"/>
          <w:sz w:val="20"/>
        </w:rPr>
        <w:t xml:space="preserve">. </w:t>
      </w:r>
      <w:r w:rsidR="00F26E1C">
        <w:rPr>
          <w:rFonts w:ascii="Verdana" w:hAnsi="Verdana"/>
          <w:sz w:val="20"/>
        </w:rPr>
        <w:t>Individuals on work</w:t>
      </w:r>
      <w:r w:rsidR="006D3F21">
        <w:rPr>
          <w:rFonts w:ascii="Verdana" w:hAnsi="Verdana"/>
          <w:sz w:val="20"/>
        </w:rPr>
        <w:t xml:space="preserve">/student placements are also excluded from a pay award or bonus. Employees with a box marking of ‘underperforming’ are also excluded from both payments. </w:t>
      </w:r>
    </w:p>
    <w:p w14:paraId="78193097" w14:textId="77777777" w:rsidR="00B462BC" w:rsidRPr="00B462BC" w:rsidRDefault="00B462BC" w:rsidP="00B462BC">
      <w:pPr>
        <w:pStyle w:val="ListParagraph"/>
        <w:rPr>
          <w:rFonts w:ascii="Verdana" w:hAnsi="Verdana"/>
          <w:sz w:val="20"/>
        </w:rPr>
      </w:pPr>
    </w:p>
    <w:p w14:paraId="78193098" w14:textId="77777777" w:rsidR="009A0138" w:rsidRPr="00761C04" w:rsidRDefault="00EE4CE6" w:rsidP="00761C04">
      <w:pPr>
        <w:pStyle w:val="ListParagraph"/>
        <w:numPr>
          <w:ilvl w:val="1"/>
          <w:numId w:val="28"/>
        </w:numPr>
        <w:rPr>
          <w:rFonts w:ascii="Verdana" w:hAnsi="Verdana"/>
          <w:sz w:val="20"/>
        </w:rPr>
      </w:pPr>
      <w:r w:rsidRPr="00761C04">
        <w:rPr>
          <w:rFonts w:ascii="Verdana" w:hAnsi="Verdana"/>
          <w:sz w:val="20"/>
        </w:rPr>
        <w:t>For this year eligible</w:t>
      </w:r>
      <w:r w:rsidR="009A0138" w:rsidRPr="00761C04">
        <w:rPr>
          <w:rFonts w:ascii="Verdana" w:hAnsi="Verdana"/>
          <w:sz w:val="20"/>
        </w:rPr>
        <w:t xml:space="preserve"> employees who were in post on 1</w:t>
      </w:r>
      <w:r w:rsidR="009A0138" w:rsidRPr="00761C04">
        <w:rPr>
          <w:rFonts w:ascii="Verdana" w:hAnsi="Verdana"/>
          <w:sz w:val="20"/>
          <w:vertAlign w:val="superscript"/>
        </w:rPr>
        <w:t>st</w:t>
      </w:r>
      <w:r w:rsidR="009A0138" w:rsidRPr="00761C04">
        <w:rPr>
          <w:rFonts w:ascii="Verdana" w:hAnsi="Verdana"/>
          <w:sz w:val="20"/>
        </w:rPr>
        <w:t xml:space="preserve"> April 201</w:t>
      </w:r>
      <w:r w:rsidR="00F26E1C">
        <w:rPr>
          <w:rFonts w:ascii="Verdana" w:hAnsi="Verdana"/>
          <w:sz w:val="20"/>
        </w:rPr>
        <w:t>9</w:t>
      </w:r>
      <w:r w:rsidR="009A0138" w:rsidRPr="00761C04">
        <w:rPr>
          <w:rFonts w:ascii="Verdana" w:hAnsi="Verdana"/>
          <w:sz w:val="20"/>
        </w:rPr>
        <w:t>, i.e. the settlement date, will be entitled to receive the 201</w:t>
      </w:r>
      <w:r w:rsidR="00F26E1C">
        <w:rPr>
          <w:rFonts w:ascii="Verdana" w:hAnsi="Verdana"/>
          <w:sz w:val="20"/>
        </w:rPr>
        <w:t>9</w:t>
      </w:r>
      <w:r w:rsidR="009A0138" w:rsidRPr="00761C04">
        <w:rPr>
          <w:rFonts w:ascii="Verdana" w:hAnsi="Verdana"/>
          <w:sz w:val="20"/>
        </w:rPr>
        <w:t xml:space="preserve"> award if applicable.</w:t>
      </w:r>
    </w:p>
    <w:p w14:paraId="78193099" w14:textId="77777777" w:rsidR="00787646" w:rsidRDefault="00787646" w:rsidP="00B95B92">
      <w:pPr>
        <w:rPr>
          <w:color w:val="000000"/>
          <w:szCs w:val="20"/>
        </w:rPr>
      </w:pPr>
    </w:p>
    <w:p w14:paraId="7819309A" w14:textId="77777777" w:rsidR="00787646" w:rsidRDefault="00787646" w:rsidP="00B95B92">
      <w:pPr>
        <w:rPr>
          <w:color w:val="000000"/>
          <w:szCs w:val="20"/>
        </w:rPr>
      </w:pPr>
    </w:p>
    <w:p w14:paraId="7819309B" w14:textId="77777777" w:rsidR="00787646" w:rsidRPr="0061469A" w:rsidRDefault="00761C04" w:rsidP="00761C04">
      <w:pPr>
        <w:pStyle w:val="ListParagraph"/>
        <w:numPr>
          <w:ilvl w:val="0"/>
          <w:numId w:val="28"/>
        </w:numPr>
        <w:rPr>
          <w:rFonts w:ascii="Verdana" w:hAnsi="Verdana"/>
          <w:b/>
          <w:color w:val="000000"/>
          <w:sz w:val="20"/>
          <w:u w:val="single"/>
        </w:rPr>
      </w:pPr>
      <w:r>
        <w:rPr>
          <w:b/>
          <w:color w:val="000000"/>
        </w:rPr>
        <w:t xml:space="preserve">     </w:t>
      </w:r>
      <w:r w:rsidR="00787646" w:rsidRPr="0061469A">
        <w:rPr>
          <w:rFonts w:ascii="Verdana" w:hAnsi="Verdana"/>
          <w:b/>
          <w:color w:val="000000"/>
          <w:sz w:val="20"/>
          <w:u w:val="single"/>
        </w:rPr>
        <w:t xml:space="preserve">Recognition </w:t>
      </w:r>
      <w:r w:rsidR="00D541A0" w:rsidRPr="0061469A">
        <w:rPr>
          <w:rFonts w:ascii="Verdana" w:hAnsi="Verdana"/>
          <w:b/>
          <w:color w:val="000000"/>
          <w:sz w:val="20"/>
          <w:u w:val="single"/>
        </w:rPr>
        <w:t>and</w:t>
      </w:r>
      <w:r w:rsidR="00787646" w:rsidRPr="0061469A">
        <w:rPr>
          <w:rFonts w:ascii="Verdana" w:hAnsi="Verdana"/>
          <w:b/>
          <w:color w:val="000000"/>
          <w:sz w:val="20"/>
          <w:u w:val="single"/>
        </w:rPr>
        <w:t xml:space="preserve"> Benefits Package</w:t>
      </w:r>
    </w:p>
    <w:p w14:paraId="7819309C" w14:textId="77777777" w:rsidR="00787646" w:rsidRPr="00D34389" w:rsidRDefault="00787646" w:rsidP="00B95B92">
      <w:pPr>
        <w:rPr>
          <w:b/>
          <w:color w:val="000000"/>
          <w:szCs w:val="20"/>
        </w:rPr>
      </w:pPr>
    </w:p>
    <w:p w14:paraId="7819309D" w14:textId="77777777" w:rsidR="00787646" w:rsidRPr="00761C04" w:rsidRDefault="00787646" w:rsidP="00761C04">
      <w:pPr>
        <w:pStyle w:val="ListParagraph"/>
        <w:numPr>
          <w:ilvl w:val="1"/>
          <w:numId w:val="28"/>
        </w:numPr>
        <w:rPr>
          <w:rFonts w:ascii="Verdana" w:hAnsi="Verdana"/>
          <w:color w:val="000000"/>
          <w:sz w:val="20"/>
        </w:rPr>
      </w:pPr>
      <w:r w:rsidRPr="00761C04">
        <w:rPr>
          <w:rFonts w:ascii="Verdana" w:hAnsi="Verdana"/>
          <w:color w:val="000000"/>
          <w:sz w:val="20"/>
        </w:rPr>
        <w:t xml:space="preserve">Further details of Ofgem’s Recognition and Benefits available to employees can be found on </w:t>
      </w:r>
      <w:r w:rsidR="00471F63">
        <w:rPr>
          <w:rFonts w:ascii="Verdana" w:hAnsi="Verdana"/>
          <w:color w:val="000000"/>
          <w:sz w:val="20"/>
        </w:rPr>
        <w:t xml:space="preserve">the </w:t>
      </w:r>
      <w:r w:rsidR="002C0889" w:rsidRPr="00761C04">
        <w:rPr>
          <w:rFonts w:ascii="Verdana" w:hAnsi="Verdana"/>
          <w:color w:val="000000"/>
          <w:sz w:val="20"/>
        </w:rPr>
        <w:t>Employee Essentials</w:t>
      </w:r>
      <w:r w:rsidR="00471F63">
        <w:rPr>
          <w:rFonts w:ascii="Verdana" w:hAnsi="Verdana"/>
          <w:color w:val="000000"/>
          <w:sz w:val="20"/>
        </w:rPr>
        <w:t xml:space="preserve"> section of the Wire</w:t>
      </w:r>
      <w:r w:rsidRPr="00761C04">
        <w:rPr>
          <w:rFonts w:ascii="Verdana" w:hAnsi="Verdana"/>
          <w:color w:val="000000"/>
          <w:sz w:val="20"/>
        </w:rPr>
        <w:t>.</w:t>
      </w:r>
    </w:p>
    <w:p w14:paraId="7819309E" w14:textId="77777777" w:rsidR="00787646" w:rsidRDefault="00787646" w:rsidP="00B95B92">
      <w:pPr>
        <w:ind w:left="491"/>
        <w:rPr>
          <w:color w:val="000000"/>
          <w:szCs w:val="20"/>
        </w:rPr>
      </w:pPr>
    </w:p>
    <w:p w14:paraId="7819309F" w14:textId="77777777" w:rsidR="00787646" w:rsidRPr="0061469A" w:rsidRDefault="00761C04" w:rsidP="00761C04">
      <w:pPr>
        <w:pStyle w:val="ListParagraph"/>
        <w:numPr>
          <w:ilvl w:val="0"/>
          <w:numId w:val="28"/>
        </w:numPr>
        <w:rPr>
          <w:rFonts w:ascii="Verdana" w:hAnsi="Verdana"/>
          <w:b/>
          <w:color w:val="000000"/>
          <w:sz w:val="20"/>
          <w:u w:val="single"/>
        </w:rPr>
      </w:pPr>
      <w:r>
        <w:rPr>
          <w:b/>
          <w:color w:val="000000"/>
        </w:rPr>
        <w:t xml:space="preserve">     </w:t>
      </w:r>
      <w:r w:rsidR="00787646" w:rsidRPr="0061469A">
        <w:rPr>
          <w:rFonts w:ascii="Verdana" w:hAnsi="Verdana"/>
          <w:b/>
          <w:color w:val="000000"/>
          <w:sz w:val="20"/>
          <w:u w:val="single"/>
        </w:rPr>
        <w:t>Payment Date</w:t>
      </w:r>
    </w:p>
    <w:p w14:paraId="781930A0" w14:textId="77777777" w:rsidR="00787646" w:rsidRPr="0061469A" w:rsidRDefault="00787646" w:rsidP="00B95B92">
      <w:pPr>
        <w:rPr>
          <w:color w:val="000000"/>
          <w:szCs w:val="20"/>
        </w:rPr>
      </w:pPr>
    </w:p>
    <w:p w14:paraId="781930A1" w14:textId="77777777" w:rsidR="00787646" w:rsidRPr="00B462BC" w:rsidRDefault="00787646" w:rsidP="002C5046">
      <w:pPr>
        <w:pStyle w:val="ListParagraph"/>
        <w:numPr>
          <w:ilvl w:val="1"/>
          <w:numId w:val="28"/>
        </w:numPr>
        <w:rPr>
          <w:b/>
          <w:color w:val="000000"/>
        </w:rPr>
      </w:pPr>
      <w:r w:rsidRPr="00B462BC">
        <w:rPr>
          <w:rFonts w:ascii="Verdana" w:hAnsi="Verdana"/>
          <w:color w:val="000000"/>
          <w:sz w:val="20"/>
        </w:rPr>
        <w:t xml:space="preserve">Eligible employees will be paid both the pay award and the performance related payment in </w:t>
      </w:r>
      <w:r w:rsidR="00761C04" w:rsidRPr="00B462BC">
        <w:rPr>
          <w:rFonts w:ascii="Verdana" w:hAnsi="Verdana"/>
          <w:color w:val="000000"/>
          <w:sz w:val="20"/>
        </w:rPr>
        <w:t xml:space="preserve">October </w:t>
      </w:r>
      <w:r w:rsidRPr="00B462BC">
        <w:rPr>
          <w:rFonts w:ascii="Verdana" w:hAnsi="Verdana"/>
          <w:color w:val="000000"/>
          <w:sz w:val="20"/>
        </w:rPr>
        <w:t>with arrears backdated to 1</w:t>
      </w:r>
      <w:r w:rsidRPr="00B462BC">
        <w:rPr>
          <w:rFonts w:ascii="Verdana" w:hAnsi="Verdana"/>
          <w:color w:val="000000"/>
          <w:sz w:val="20"/>
          <w:vertAlign w:val="superscript"/>
        </w:rPr>
        <w:t>st</w:t>
      </w:r>
      <w:r w:rsidRPr="00B462BC">
        <w:rPr>
          <w:rFonts w:ascii="Verdana" w:hAnsi="Verdana"/>
          <w:color w:val="000000"/>
          <w:sz w:val="20"/>
        </w:rPr>
        <w:t xml:space="preserve"> April 20</w:t>
      </w:r>
      <w:r w:rsidR="00761C04" w:rsidRPr="00B462BC">
        <w:rPr>
          <w:rFonts w:ascii="Verdana" w:hAnsi="Verdana"/>
          <w:color w:val="000000"/>
          <w:sz w:val="20"/>
        </w:rPr>
        <w:t>19</w:t>
      </w:r>
      <w:r w:rsidRPr="00B462BC">
        <w:rPr>
          <w:rFonts w:ascii="Verdana" w:hAnsi="Verdana"/>
          <w:color w:val="000000"/>
          <w:sz w:val="20"/>
        </w:rPr>
        <w:t xml:space="preserve">. </w:t>
      </w:r>
    </w:p>
    <w:p w14:paraId="781930A2" w14:textId="77777777" w:rsidR="00787646" w:rsidRPr="00D009B9" w:rsidRDefault="00787646" w:rsidP="00B95B92">
      <w:pPr>
        <w:jc w:val="right"/>
        <w:rPr>
          <w:b/>
          <w:color w:val="000000"/>
        </w:rPr>
      </w:pPr>
      <w:r w:rsidRPr="00D009B9">
        <w:rPr>
          <w:b/>
          <w:color w:val="000000"/>
        </w:rPr>
        <w:t xml:space="preserve"> </w:t>
      </w:r>
    </w:p>
    <w:p w14:paraId="781930A3" w14:textId="77777777" w:rsidR="00787646" w:rsidRDefault="00787646" w:rsidP="00787646">
      <w:pPr>
        <w:ind w:left="720"/>
        <w:rPr>
          <w:color w:val="000000"/>
          <w:szCs w:val="20"/>
        </w:rPr>
      </w:pPr>
    </w:p>
    <w:p w14:paraId="781930A4" w14:textId="77777777" w:rsidR="00152F9E" w:rsidRDefault="00476109" w:rsidP="00152F9E">
      <w:pPr>
        <w:jc w:val="center"/>
        <w:rPr>
          <w:b/>
          <w:color w:val="FF0000"/>
          <w:szCs w:val="20"/>
          <w:u w:val="single"/>
        </w:rPr>
      </w:pPr>
      <w:r w:rsidRPr="00D027A7">
        <w:rPr>
          <w:b/>
          <w:color w:val="000000"/>
          <w:szCs w:val="20"/>
          <w:u w:val="single"/>
        </w:rPr>
        <w:t>Frequently Asked Questions (FAQ)</w:t>
      </w:r>
      <w:r w:rsidR="00761C04">
        <w:rPr>
          <w:b/>
          <w:color w:val="000000"/>
          <w:szCs w:val="20"/>
          <w:u w:val="single"/>
        </w:rPr>
        <w:t xml:space="preserve"> </w:t>
      </w:r>
      <w:r w:rsidR="00761C04">
        <w:rPr>
          <w:b/>
          <w:color w:val="FF0000"/>
          <w:szCs w:val="20"/>
          <w:u w:val="single"/>
        </w:rPr>
        <w:t xml:space="preserve"> </w:t>
      </w:r>
    </w:p>
    <w:p w14:paraId="781930A5" w14:textId="77777777" w:rsidR="00152F9E" w:rsidRDefault="00152F9E" w:rsidP="00152F9E">
      <w:pPr>
        <w:rPr>
          <w:b/>
          <w:color w:val="FF0000"/>
          <w:szCs w:val="20"/>
          <w:u w:val="single"/>
        </w:rPr>
      </w:pPr>
    </w:p>
    <w:p w14:paraId="781930A6" w14:textId="77777777" w:rsidR="00152F9E" w:rsidRPr="00152F9E" w:rsidRDefault="00152F9E" w:rsidP="00152F9E">
      <w:pPr>
        <w:rPr>
          <w:b/>
          <w:szCs w:val="20"/>
          <w:u w:val="single"/>
        </w:rPr>
      </w:pPr>
      <w:r>
        <w:rPr>
          <w:b/>
          <w:szCs w:val="20"/>
        </w:rPr>
        <w:t xml:space="preserve">      </w:t>
      </w:r>
      <w:r w:rsidRPr="00152F9E">
        <w:rPr>
          <w:b/>
          <w:szCs w:val="20"/>
          <w:u w:val="single"/>
        </w:rPr>
        <w:t xml:space="preserve">Pay Awards </w:t>
      </w:r>
    </w:p>
    <w:p w14:paraId="781930A7" w14:textId="77777777" w:rsidR="00787646" w:rsidRDefault="00787646" w:rsidP="00787646">
      <w:pPr>
        <w:ind w:left="720"/>
        <w:rPr>
          <w:color w:val="000000"/>
          <w:szCs w:val="20"/>
        </w:rPr>
      </w:pPr>
    </w:p>
    <w:p w14:paraId="781930A8" w14:textId="77777777" w:rsidR="00F45E16" w:rsidRPr="00D027A7" w:rsidRDefault="00AD34B1" w:rsidP="00C974F5">
      <w:pPr>
        <w:pStyle w:val="ListParagraph"/>
        <w:numPr>
          <w:ilvl w:val="0"/>
          <w:numId w:val="23"/>
        </w:numPr>
        <w:spacing w:line="0" w:lineRule="atLeast"/>
        <w:ind w:left="714" w:hanging="357"/>
        <w:jc w:val="left"/>
        <w:rPr>
          <w:rFonts w:ascii="Verdana" w:hAnsi="Verdana"/>
          <w:sz w:val="20"/>
          <w:u w:val="single"/>
        </w:rPr>
      </w:pPr>
      <w:r>
        <w:rPr>
          <w:rFonts w:ascii="Verdana" w:hAnsi="Verdana"/>
          <w:sz w:val="20"/>
          <w:u w:val="single"/>
        </w:rPr>
        <w:t xml:space="preserve">How do I know if I am </w:t>
      </w:r>
      <w:r w:rsidR="006D3F21">
        <w:rPr>
          <w:rFonts w:ascii="Verdana" w:hAnsi="Verdana"/>
          <w:sz w:val="20"/>
          <w:u w:val="single"/>
        </w:rPr>
        <w:t xml:space="preserve">eligible for </w:t>
      </w:r>
      <w:r w:rsidR="002C5046">
        <w:rPr>
          <w:rFonts w:ascii="Verdana" w:hAnsi="Verdana"/>
          <w:sz w:val="20"/>
          <w:u w:val="single"/>
        </w:rPr>
        <w:t>the</w:t>
      </w:r>
      <w:r w:rsidR="006D3F21">
        <w:rPr>
          <w:rFonts w:ascii="Verdana" w:hAnsi="Verdana"/>
          <w:sz w:val="20"/>
          <w:u w:val="single"/>
        </w:rPr>
        <w:t xml:space="preserve"> pay award? </w:t>
      </w:r>
    </w:p>
    <w:p w14:paraId="781930A9" w14:textId="77777777" w:rsidR="00787646" w:rsidRPr="00D027A7" w:rsidRDefault="00787646" w:rsidP="00C974F5">
      <w:pPr>
        <w:ind w:left="720"/>
        <w:rPr>
          <w:szCs w:val="20"/>
        </w:rPr>
      </w:pPr>
    </w:p>
    <w:p w14:paraId="781930AA" w14:textId="77777777" w:rsidR="00152F9E" w:rsidRDefault="006D3F21" w:rsidP="00C974F5">
      <w:pPr>
        <w:ind w:left="720"/>
        <w:rPr>
          <w:szCs w:val="20"/>
        </w:rPr>
      </w:pPr>
      <w:r>
        <w:rPr>
          <w:szCs w:val="20"/>
        </w:rPr>
        <w:t>Eligibility is based on when you joined Ofgem (</w:t>
      </w:r>
      <w:r w:rsidR="00475075">
        <w:rPr>
          <w:szCs w:val="20"/>
        </w:rPr>
        <w:t xml:space="preserve">on the </w:t>
      </w:r>
      <w:r>
        <w:rPr>
          <w:szCs w:val="20"/>
        </w:rPr>
        <w:t>Ofgem payroll)</w:t>
      </w:r>
      <w:r w:rsidR="008C2983">
        <w:rPr>
          <w:szCs w:val="20"/>
        </w:rPr>
        <w:t>, and your status at 1</w:t>
      </w:r>
      <w:r w:rsidR="008C2983" w:rsidRPr="00B520C4">
        <w:rPr>
          <w:szCs w:val="20"/>
          <w:vertAlign w:val="superscript"/>
        </w:rPr>
        <w:t>st</w:t>
      </w:r>
      <w:r w:rsidR="008C2983">
        <w:rPr>
          <w:szCs w:val="20"/>
        </w:rPr>
        <w:t xml:space="preserve"> April 2019.</w:t>
      </w:r>
      <w:r>
        <w:rPr>
          <w:szCs w:val="20"/>
        </w:rPr>
        <w:t xml:space="preserve"> </w:t>
      </w:r>
    </w:p>
    <w:p w14:paraId="781930AB" w14:textId="77777777" w:rsidR="005C780B" w:rsidRDefault="005C780B" w:rsidP="00C974F5">
      <w:pPr>
        <w:ind w:left="720"/>
        <w:rPr>
          <w:szCs w:val="20"/>
        </w:rPr>
      </w:pPr>
    </w:p>
    <w:p w14:paraId="781930AC" w14:textId="77777777" w:rsidR="00EF39AA" w:rsidRDefault="008C2983" w:rsidP="00EF39AA">
      <w:pPr>
        <w:ind w:left="720"/>
        <w:rPr>
          <w:szCs w:val="20"/>
        </w:rPr>
      </w:pPr>
      <w:r>
        <w:rPr>
          <w:szCs w:val="20"/>
        </w:rPr>
        <w:t>This means y</w:t>
      </w:r>
      <w:r w:rsidR="001630E6">
        <w:rPr>
          <w:szCs w:val="20"/>
        </w:rPr>
        <w:t xml:space="preserve">ou will receive a pay award </w:t>
      </w:r>
      <w:r w:rsidR="00470175">
        <w:rPr>
          <w:szCs w:val="20"/>
        </w:rPr>
        <w:t>(</w:t>
      </w:r>
      <w:r w:rsidR="001630E6">
        <w:rPr>
          <w:szCs w:val="20"/>
        </w:rPr>
        <w:t>backdated to 1</w:t>
      </w:r>
      <w:r w:rsidR="001630E6" w:rsidRPr="00475075">
        <w:rPr>
          <w:szCs w:val="20"/>
          <w:vertAlign w:val="superscript"/>
        </w:rPr>
        <w:t>st</w:t>
      </w:r>
      <w:r w:rsidR="001630E6">
        <w:rPr>
          <w:szCs w:val="20"/>
        </w:rPr>
        <w:t xml:space="preserve"> April 2019</w:t>
      </w:r>
      <w:r w:rsidR="00470175">
        <w:rPr>
          <w:szCs w:val="20"/>
        </w:rPr>
        <w:t>)</w:t>
      </w:r>
      <w:r w:rsidR="001630E6">
        <w:rPr>
          <w:szCs w:val="20"/>
        </w:rPr>
        <w:t xml:space="preserve"> if</w:t>
      </w:r>
      <w:r w:rsidR="001569F5">
        <w:rPr>
          <w:szCs w:val="20"/>
        </w:rPr>
        <w:t xml:space="preserve"> you joined </w:t>
      </w:r>
      <w:r w:rsidR="001569F5" w:rsidRPr="0061469A">
        <w:rPr>
          <w:i/>
          <w:szCs w:val="20"/>
        </w:rPr>
        <w:t>prior</w:t>
      </w:r>
      <w:r w:rsidR="001569F5">
        <w:rPr>
          <w:szCs w:val="20"/>
        </w:rPr>
        <w:t xml:space="preserve"> to</w:t>
      </w:r>
      <w:r w:rsidR="001630E6">
        <w:rPr>
          <w:szCs w:val="20"/>
        </w:rPr>
        <w:t xml:space="preserve"> </w:t>
      </w:r>
      <w:r w:rsidR="001569F5">
        <w:rPr>
          <w:szCs w:val="20"/>
        </w:rPr>
        <w:t>1</w:t>
      </w:r>
      <w:r w:rsidR="001569F5" w:rsidRPr="00152F9E">
        <w:rPr>
          <w:szCs w:val="20"/>
          <w:vertAlign w:val="superscript"/>
        </w:rPr>
        <w:t>st</w:t>
      </w:r>
      <w:r w:rsidR="001569F5">
        <w:rPr>
          <w:szCs w:val="20"/>
        </w:rPr>
        <w:t xml:space="preserve"> </w:t>
      </w:r>
      <w:r w:rsidR="001630E6">
        <w:rPr>
          <w:szCs w:val="20"/>
        </w:rPr>
        <w:t>January 2019</w:t>
      </w:r>
      <w:r w:rsidR="0061469A">
        <w:rPr>
          <w:szCs w:val="20"/>
        </w:rPr>
        <w:t xml:space="preserve"> </w:t>
      </w:r>
      <w:r w:rsidR="001569F5">
        <w:rPr>
          <w:szCs w:val="20"/>
        </w:rPr>
        <w:t xml:space="preserve">and </w:t>
      </w:r>
      <w:r w:rsidR="0061469A">
        <w:rPr>
          <w:szCs w:val="20"/>
        </w:rPr>
        <w:t xml:space="preserve">you have since passed your probation. </w:t>
      </w:r>
      <w:r>
        <w:rPr>
          <w:szCs w:val="20"/>
        </w:rPr>
        <w:t xml:space="preserve">The pay award will be based on your </w:t>
      </w:r>
      <w:r w:rsidR="0061469A">
        <w:rPr>
          <w:szCs w:val="20"/>
        </w:rPr>
        <w:t xml:space="preserve">salary </w:t>
      </w:r>
      <w:r>
        <w:rPr>
          <w:szCs w:val="20"/>
        </w:rPr>
        <w:t>at 1</w:t>
      </w:r>
      <w:r w:rsidRPr="00152F9E">
        <w:rPr>
          <w:szCs w:val="20"/>
          <w:vertAlign w:val="superscript"/>
        </w:rPr>
        <w:t>st</w:t>
      </w:r>
      <w:r>
        <w:rPr>
          <w:szCs w:val="20"/>
        </w:rPr>
        <w:t xml:space="preserve"> April 2019.</w:t>
      </w:r>
      <w:r w:rsidR="00EF39AA" w:rsidRPr="00EF39AA">
        <w:rPr>
          <w:szCs w:val="20"/>
        </w:rPr>
        <w:t xml:space="preserve"> </w:t>
      </w:r>
      <w:r w:rsidR="00EF39AA">
        <w:rPr>
          <w:szCs w:val="20"/>
        </w:rPr>
        <w:t xml:space="preserve">Part-time employees will receive an uplift based on pro-rata FTE. </w:t>
      </w:r>
    </w:p>
    <w:p w14:paraId="781930AD" w14:textId="77777777" w:rsidR="001630E6" w:rsidRDefault="001630E6" w:rsidP="00EF39AA">
      <w:pPr>
        <w:rPr>
          <w:szCs w:val="20"/>
        </w:rPr>
      </w:pPr>
    </w:p>
    <w:p w14:paraId="781930AE" w14:textId="77777777" w:rsidR="00493239" w:rsidRDefault="001630E6" w:rsidP="00EF39AA">
      <w:pPr>
        <w:ind w:left="720"/>
        <w:rPr>
          <w:szCs w:val="20"/>
        </w:rPr>
      </w:pPr>
      <w:r>
        <w:rPr>
          <w:szCs w:val="20"/>
        </w:rPr>
        <w:t>N</w:t>
      </w:r>
      <w:r w:rsidR="00152F9E">
        <w:rPr>
          <w:szCs w:val="20"/>
        </w:rPr>
        <w:t>ew joiners who have joined on or after 1</w:t>
      </w:r>
      <w:r w:rsidR="00152F9E" w:rsidRPr="00152F9E">
        <w:rPr>
          <w:szCs w:val="20"/>
          <w:vertAlign w:val="superscript"/>
        </w:rPr>
        <w:t>st</w:t>
      </w:r>
      <w:r w:rsidR="00152F9E">
        <w:rPr>
          <w:szCs w:val="20"/>
        </w:rPr>
        <w:t xml:space="preserve"> January 2019 will not receive a pay award. </w:t>
      </w:r>
      <w:r w:rsidR="00D4225D">
        <w:rPr>
          <w:szCs w:val="20"/>
        </w:rPr>
        <w:t>(</w:t>
      </w:r>
      <w:r w:rsidR="00984B3B">
        <w:rPr>
          <w:szCs w:val="20"/>
        </w:rPr>
        <w:t>They w</w:t>
      </w:r>
      <w:r w:rsidR="00D4225D">
        <w:rPr>
          <w:szCs w:val="20"/>
        </w:rPr>
        <w:t xml:space="preserve">ill also not receive a bonus). </w:t>
      </w:r>
      <w:r w:rsidR="00152F9E">
        <w:rPr>
          <w:szCs w:val="20"/>
        </w:rPr>
        <w:t>This also includes employees from other government departments with continuous service.</w:t>
      </w:r>
      <w:r w:rsidR="00AD34B1">
        <w:rPr>
          <w:szCs w:val="20"/>
        </w:rPr>
        <w:t xml:space="preserve"> </w:t>
      </w:r>
    </w:p>
    <w:p w14:paraId="781930AF" w14:textId="77777777" w:rsidR="00894B05" w:rsidRDefault="00894B05" w:rsidP="00EF39AA">
      <w:pPr>
        <w:rPr>
          <w:szCs w:val="20"/>
        </w:rPr>
      </w:pPr>
    </w:p>
    <w:p w14:paraId="781930B0" w14:textId="77777777" w:rsidR="00894B05" w:rsidRPr="00D027A7" w:rsidRDefault="00475075" w:rsidP="00C974F5">
      <w:pPr>
        <w:pStyle w:val="ListParagraph"/>
        <w:numPr>
          <w:ilvl w:val="0"/>
          <w:numId w:val="23"/>
        </w:numPr>
        <w:jc w:val="left"/>
        <w:rPr>
          <w:rFonts w:ascii="Verdana" w:hAnsi="Verdana"/>
          <w:sz w:val="20"/>
          <w:u w:val="single"/>
        </w:rPr>
      </w:pPr>
      <w:r>
        <w:rPr>
          <w:rFonts w:ascii="Verdana" w:hAnsi="Verdana"/>
          <w:sz w:val="20"/>
          <w:u w:val="single"/>
        </w:rPr>
        <w:t xml:space="preserve">What do you mean by the Ofgem payroll? </w:t>
      </w:r>
    </w:p>
    <w:p w14:paraId="781930B1" w14:textId="77777777" w:rsidR="00894B05" w:rsidRPr="00D027A7" w:rsidRDefault="00894B05" w:rsidP="00C974F5">
      <w:pPr>
        <w:ind w:left="720"/>
        <w:rPr>
          <w:szCs w:val="20"/>
        </w:rPr>
      </w:pPr>
    </w:p>
    <w:p w14:paraId="781930B2" w14:textId="77777777" w:rsidR="00894B05" w:rsidRDefault="00074963" w:rsidP="00C974F5">
      <w:pPr>
        <w:ind w:left="720"/>
        <w:rPr>
          <w:szCs w:val="20"/>
        </w:rPr>
      </w:pPr>
      <w:r>
        <w:rPr>
          <w:szCs w:val="20"/>
        </w:rPr>
        <w:t xml:space="preserve">This is where you have been issued with a </w:t>
      </w:r>
      <w:r w:rsidR="00475075">
        <w:rPr>
          <w:szCs w:val="20"/>
        </w:rPr>
        <w:t xml:space="preserve">permanent, fixed term or casual </w:t>
      </w:r>
      <w:r>
        <w:rPr>
          <w:szCs w:val="20"/>
        </w:rPr>
        <w:t xml:space="preserve">Ofgem </w:t>
      </w:r>
      <w:r w:rsidR="00475075">
        <w:rPr>
          <w:szCs w:val="20"/>
        </w:rPr>
        <w:t xml:space="preserve">employment </w:t>
      </w:r>
      <w:r>
        <w:rPr>
          <w:szCs w:val="20"/>
        </w:rPr>
        <w:t>contract</w:t>
      </w:r>
      <w:r w:rsidR="00475075">
        <w:rPr>
          <w:szCs w:val="20"/>
        </w:rPr>
        <w:t xml:space="preserve">. </w:t>
      </w:r>
    </w:p>
    <w:p w14:paraId="781930B3" w14:textId="77777777" w:rsidR="00074963" w:rsidRDefault="00074963" w:rsidP="00C974F5">
      <w:pPr>
        <w:ind w:left="720"/>
        <w:rPr>
          <w:szCs w:val="20"/>
        </w:rPr>
      </w:pPr>
    </w:p>
    <w:p w14:paraId="781930B4" w14:textId="77777777" w:rsidR="00AB4C54" w:rsidRDefault="00074963" w:rsidP="00C974F5">
      <w:pPr>
        <w:ind w:left="720"/>
        <w:rPr>
          <w:szCs w:val="20"/>
        </w:rPr>
      </w:pPr>
      <w:r>
        <w:rPr>
          <w:szCs w:val="20"/>
        </w:rPr>
        <w:t xml:space="preserve">Individuals on </w:t>
      </w:r>
      <w:r w:rsidR="00EF39AA">
        <w:rPr>
          <w:szCs w:val="20"/>
        </w:rPr>
        <w:t xml:space="preserve">fixed term or casual </w:t>
      </w:r>
      <w:r>
        <w:rPr>
          <w:szCs w:val="20"/>
        </w:rPr>
        <w:t xml:space="preserve">contracts are employees of Ofgem and have been appointed </w:t>
      </w:r>
      <w:r w:rsidR="00EF39AA">
        <w:rPr>
          <w:szCs w:val="20"/>
        </w:rPr>
        <w:t>for a fixed period of time</w:t>
      </w:r>
      <w:r>
        <w:rPr>
          <w:szCs w:val="20"/>
        </w:rPr>
        <w:t>, but, they have not been appointed through open and fair competition. They are still however subject to the performance review process and eligible for a pay award if they meet the</w:t>
      </w:r>
      <w:r w:rsidR="00EF39AA">
        <w:rPr>
          <w:szCs w:val="20"/>
        </w:rPr>
        <w:t xml:space="preserve"> above</w:t>
      </w:r>
      <w:r>
        <w:rPr>
          <w:szCs w:val="20"/>
        </w:rPr>
        <w:t xml:space="preserve"> eligibility criteria. </w:t>
      </w:r>
    </w:p>
    <w:p w14:paraId="781930B5" w14:textId="77777777" w:rsidR="00AB4C54" w:rsidRDefault="00AB4C54" w:rsidP="00C974F5">
      <w:pPr>
        <w:ind w:left="720"/>
        <w:rPr>
          <w:szCs w:val="20"/>
        </w:rPr>
      </w:pPr>
    </w:p>
    <w:p w14:paraId="781930B6" w14:textId="77777777" w:rsidR="00074963" w:rsidRPr="00D027A7" w:rsidRDefault="00074963" w:rsidP="00C974F5">
      <w:pPr>
        <w:ind w:left="720"/>
        <w:rPr>
          <w:szCs w:val="20"/>
        </w:rPr>
      </w:pPr>
      <w:r>
        <w:rPr>
          <w:szCs w:val="20"/>
        </w:rPr>
        <w:t>Agency</w:t>
      </w:r>
      <w:r w:rsidR="00EF39AA">
        <w:rPr>
          <w:szCs w:val="20"/>
        </w:rPr>
        <w:t xml:space="preserve"> staff</w:t>
      </w:r>
      <w:r>
        <w:rPr>
          <w:szCs w:val="20"/>
        </w:rPr>
        <w:t xml:space="preserve"> and contractors</w:t>
      </w:r>
      <w:r w:rsidR="00EF39AA">
        <w:rPr>
          <w:szCs w:val="20"/>
        </w:rPr>
        <w:t xml:space="preserve"> are not eligible for a pay award</w:t>
      </w:r>
      <w:r>
        <w:rPr>
          <w:szCs w:val="20"/>
        </w:rPr>
        <w:t xml:space="preserve">. </w:t>
      </w:r>
    </w:p>
    <w:p w14:paraId="781930B7" w14:textId="77777777" w:rsidR="00F45E16" w:rsidRPr="00D027A7" w:rsidRDefault="00F45E16" w:rsidP="00C974F5">
      <w:pPr>
        <w:ind w:left="720"/>
        <w:rPr>
          <w:color w:val="FF0000"/>
          <w:szCs w:val="20"/>
        </w:rPr>
      </w:pPr>
    </w:p>
    <w:p w14:paraId="781930B8" w14:textId="77777777" w:rsidR="00F45E16" w:rsidRPr="00D027A7" w:rsidRDefault="00074963" w:rsidP="00C974F5">
      <w:pPr>
        <w:pStyle w:val="ListParagraph"/>
        <w:numPr>
          <w:ilvl w:val="0"/>
          <w:numId w:val="23"/>
        </w:numPr>
        <w:jc w:val="left"/>
        <w:rPr>
          <w:rFonts w:ascii="Verdana" w:hAnsi="Verdana"/>
          <w:sz w:val="20"/>
          <w:u w:val="single"/>
        </w:rPr>
      </w:pPr>
      <w:r>
        <w:rPr>
          <w:rFonts w:ascii="Verdana" w:hAnsi="Verdana"/>
          <w:sz w:val="20"/>
          <w:u w:val="single"/>
        </w:rPr>
        <w:t xml:space="preserve">What if I am on loan </w:t>
      </w:r>
      <w:r w:rsidR="009E6503">
        <w:rPr>
          <w:rFonts w:ascii="Verdana" w:hAnsi="Verdana"/>
          <w:sz w:val="20"/>
          <w:u w:val="single"/>
        </w:rPr>
        <w:t xml:space="preserve">or I have permanently transferred </w:t>
      </w:r>
      <w:r>
        <w:rPr>
          <w:rFonts w:ascii="Verdana" w:hAnsi="Verdana"/>
          <w:sz w:val="20"/>
          <w:u w:val="single"/>
        </w:rPr>
        <w:t xml:space="preserve">from another government department? </w:t>
      </w:r>
    </w:p>
    <w:p w14:paraId="781930B9" w14:textId="77777777" w:rsidR="00F45E16" w:rsidRPr="00D027A7" w:rsidRDefault="00F45E16" w:rsidP="00C974F5">
      <w:pPr>
        <w:ind w:left="720"/>
        <w:rPr>
          <w:szCs w:val="20"/>
        </w:rPr>
      </w:pPr>
    </w:p>
    <w:p w14:paraId="781930BA" w14:textId="77777777" w:rsidR="00014D86" w:rsidRDefault="00074963" w:rsidP="00C974F5">
      <w:pPr>
        <w:ind w:left="720"/>
        <w:rPr>
          <w:szCs w:val="20"/>
        </w:rPr>
      </w:pPr>
      <w:r>
        <w:rPr>
          <w:szCs w:val="20"/>
        </w:rPr>
        <w:t>If you have been working with Ofgem since before 1</w:t>
      </w:r>
      <w:r w:rsidRPr="00074963">
        <w:rPr>
          <w:szCs w:val="20"/>
          <w:vertAlign w:val="superscript"/>
        </w:rPr>
        <w:t>st</w:t>
      </w:r>
      <w:r>
        <w:rPr>
          <w:szCs w:val="20"/>
        </w:rPr>
        <w:t xml:space="preserve"> </w:t>
      </w:r>
      <w:r w:rsidR="00AD34B1">
        <w:rPr>
          <w:szCs w:val="20"/>
        </w:rPr>
        <w:t>January 2019</w:t>
      </w:r>
      <w:r>
        <w:rPr>
          <w:szCs w:val="20"/>
        </w:rPr>
        <w:t xml:space="preserve"> </w:t>
      </w:r>
      <w:r w:rsidR="00AD34B1">
        <w:rPr>
          <w:szCs w:val="20"/>
        </w:rPr>
        <w:t xml:space="preserve">you are eligible for a pay award.  </w:t>
      </w:r>
    </w:p>
    <w:p w14:paraId="781930BB" w14:textId="77777777" w:rsidR="00074963" w:rsidRPr="00D027A7" w:rsidRDefault="00074963" w:rsidP="00C974F5">
      <w:pPr>
        <w:ind w:left="720"/>
        <w:rPr>
          <w:szCs w:val="20"/>
        </w:rPr>
      </w:pPr>
    </w:p>
    <w:p w14:paraId="781930BC" w14:textId="77777777" w:rsidR="00786E79" w:rsidRPr="00D027A7" w:rsidRDefault="008B553A" w:rsidP="00C974F5">
      <w:pPr>
        <w:pStyle w:val="ListParagraph"/>
        <w:numPr>
          <w:ilvl w:val="0"/>
          <w:numId w:val="23"/>
        </w:numPr>
        <w:jc w:val="left"/>
        <w:rPr>
          <w:rFonts w:ascii="Verdana" w:hAnsi="Verdana"/>
          <w:sz w:val="20"/>
          <w:u w:val="single"/>
        </w:rPr>
      </w:pPr>
      <w:r>
        <w:rPr>
          <w:rFonts w:ascii="Verdana" w:hAnsi="Verdana"/>
          <w:sz w:val="20"/>
          <w:u w:val="single"/>
        </w:rPr>
        <w:t>Formal underperformance</w:t>
      </w:r>
    </w:p>
    <w:p w14:paraId="781930BD" w14:textId="77777777" w:rsidR="001A4C77" w:rsidRPr="00D027A7" w:rsidRDefault="001A4C77" w:rsidP="00C974F5">
      <w:pPr>
        <w:ind w:left="720"/>
        <w:rPr>
          <w:szCs w:val="20"/>
          <w:u w:val="single"/>
        </w:rPr>
      </w:pPr>
    </w:p>
    <w:p w14:paraId="781930BE" w14:textId="77777777" w:rsidR="00476109" w:rsidRPr="00D027A7" w:rsidRDefault="009E6503" w:rsidP="00C974F5">
      <w:pPr>
        <w:ind w:left="720"/>
        <w:rPr>
          <w:szCs w:val="20"/>
        </w:rPr>
      </w:pPr>
      <w:r>
        <w:rPr>
          <w:szCs w:val="20"/>
        </w:rPr>
        <w:t xml:space="preserve">As explained </w:t>
      </w:r>
      <w:r w:rsidR="00984B3B">
        <w:rPr>
          <w:szCs w:val="20"/>
        </w:rPr>
        <w:t xml:space="preserve">above </w:t>
      </w:r>
      <w:r>
        <w:rPr>
          <w:szCs w:val="20"/>
        </w:rPr>
        <w:t>in th</w:t>
      </w:r>
      <w:r w:rsidR="00984B3B">
        <w:rPr>
          <w:szCs w:val="20"/>
        </w:rPr>
        <w:t>is</w:t>
      </w:r>
      <w:r>
        <w:rPr>
          <w:szCs w:val="20"/>
        </w:rPr>
        <w:t xml:space="preserve"> HR notice, i</w:t>
      </w:r>
      <w:r w:rsidR="00AD34B1">
        <w:rPr>
          <w:szCs w:val="20"/>
        </w:rPr>
        <w:t xml:space="preserve">f you are in </w:t>
      </w:r>
      <w:r w:rsidR="008B553A">
        <w:rPr>
          <w:szCs w:val="20"/>
        </w:rPr>
        <w:t>formal underperformance</w:t>
      </w:r>
      <w:r w:rsidR="00476109" w:rsidRPr="00D027A7">
        <w:rPr>
          <w:szCs w:val="20"/>
        </w:rPr>
        <w:t xml:space="preserve"> </w:t>
      </w:r>
      <w:r w:rsidR="00AD34B1">
        <w:rPr>
          <w:szCs w:val="20"/>
        </w:rPr>
        <w:t xml:space="preserve">as </w:t>
      </w:r>
      <w:r w:rsidR="00476109" w:rsidRPr="00D027A7">
        <w:rPr>
          <w:szCs w:val="20"/>
        </w:rPr>
        <w:t>at 31</w:t>
      </w:r>
      <w:r w:rsidR="00476109" w:rsidRPr="00D027A7">
        <w:rPr>
          <w:szCs w:val="20"/>
          <w:vertAlign w:val="superscript"/>
        </w:rPr>
        <w:t>st</w:t>
      </w:r>
      <w:r w:rsidR="00476109" w:rsidRPr="00D027A7">
        <w:rPr>
          <w:szCs w:val="20"/>
        </w:rPr>
        <w:t xml:space="preserve"> March 201</w:t>
      </w:r>
      <w:r w:rsidR="00AD34B1">
        <w:rPr>
          <w:szCs w:val="20"/>
        </w:rPr>
        <w:t>9</w:t>
      </w:r>
      <w:r w:rsidR="00EF39AA">
        <w:rPr>
          <w:szCs w:val="20"/>
        </w:rPr>
        <w:t xml:space="preserve"> you</w:t>
      </w:r>
      <w:r w:rsidR="00476109" w:rsidRPr="00D027A7">
        <w:rPr>
          <w:szCs w:val="20"/>
        </w:rPr>
        <w:t xml:space="preserve"> will not receive a</w:t>
      </w:r>
      <w:r w:rsidR="008B553A">
        <w:rPr>
          <w:szCs w:val="20"/>
        </w:rPr>
        <w:t xml:space="preserve"> pay</w:t>
      </w:r>
      <w:r w:rsidR="00476109" w:rsidRPr="00D027A7">
        <w:rPr>
          <w:szCs w:val="20"/>
        </w:rPr>
        <w:t xml:space="preserve"> award</w:t>
      </w:r>
      <w:r w:rsidR="008B553A">
        <w:rPr>
          <w:szCs w:val="20"/>
        </w:rPr>
        <w:t>.</w:t>
      </w:r>
      <w:r>
        <w:rPr>
          <w:szCs w:val="20"/>
        </w:rPr>
        <w:t xml:space="preserve"> </w:t>
      </w:r>
    </w:p>
    <w:p w14:paraId="781930BF" w14:textId="77777777" w:rsidR="00476109" w:rsidRPr="00D027A7" w:rsidRDefault="00476109" w:rsidP="00C974F5">
      <w:pPr>
        <w:ind w:left="720"/>
        <w:rPr>
          <w:szCs w:val="20"/>
        </w:rPr>
      </w:pPr>
    </w:p>
    <w:p w14:paraId="781930C0" w14:textId="77777777" w:rsidR="00A1383F" w:rsidRPr="00D027A7" w:rsidRDefault="00AD34B1" w:rsidP="00C974F5">
      <w:pPr>
        <w:pStyle w:val="ListParagraph"/>
        <w:numPr>
          <w:ilvl w:val="0"/>
          <w:numId w:val="23"/>
        </w:numPr>
        <w:jc w:val="left"/>
        <w:rPr>
          <w:rFonts w:ascii="Verdana" w:hAnsi="Verdana"/>
          <w:sz w:val="20"/>
          <w:u w:val="single"/>
        </w:rPr>
      </w:pPr>
      <w:r>
        <w:rPr>
          <w:rFonts w:ascii="Verdana" w:hAnsi="Verdana"/>
          <w:sz w:val="20"/>
          <w:u w:val="single"/>
        </w:rPr>
        <w:t xml:space="preserve">What if I am near the maximum of my pay band </w:t>
      </w:r>
      <w:r w:rsidR="00786E79" w:rsidRPr="00D027A7">
        <w:rPr>
          <w:rFonts w:ascii="Verdana" w:hAnsi="Verdana"/>
          <w:sz w:val="20"/>
          <w:u w:val="single"/>
        </w:rPr>
        <w:t xml:space="preserve">or have reached </w:t>
      </w:r>
      <w:r>
        <w:rPr>
          <w:rFonts w:ascii="Verdana" w:hAnsi="Verdana"/>
          <w:sz w:val="20"/>
          <w:u w:val="single"/>
        </w:rPr>
        <w:t xml:space="preserve">the </w:t>
      </w:r>
      <w:r w:rsidR="00786E79" w:rsidRPr="00D027A7">
        <w:rPr>
          <w:rFonts w:ascii="Verdana" w:hAnsi="Verdana"/>
          <w:sz w:val="20"/>
          <w:u w:val="single"/>
        </w:rPr>
        <w:t>maximum</w:t>
      </w:r>
      <w:r>
        <w:rPr>
          <w:rFonts w:ascii="Verdana" w:hAnsi="Verdana"/>
          <w:sz w:val="20"/>
          <w:u w:val="single"/>
        </w:rPr>
        <w:t>?</w:t>
      </w:r>
    </w:p>
    <w:p w14:paraId="781930C1" w14:textId="77777777" w:rsidR="00786E79" w:rsidRPr="00D027A7" w:rsidRDefault="00786E79" w:rsidP="00C974F5">
      <w:pPr>
        <w:ind w:left="720"/>
        <w:rPr>
          <w:szCs w:val="20"/>
          <w:u w:val="single"/>
        </w:rPr>
      </w:pPr>
    </w:p>
    <w:p w14:paraId="781930C2" w14:textId="77777777" w:rsidR="00894B05" w:rsidRDefault="009E6503" w:rsidP="00C974F5">
      <w:pPr>
        <w:ind w:left="720"/>
        <w:rPr>
          <w:szCs w:val="20"/>
        </w:rPr>
      </w:pPr>
      <w:r>
        <w:rPr>
          <w:szCs w:val="20"/>
        </w:rPr>
        <w:t xml:space="preserve">If you are at the maximum of your pay band, you will not receive a pay award. </w:t>
      </w:r>
    </w:p>
    <w:p w14:paraId="781930C3" w14:textId="77777777" w:rsidR="009E6503" w:rsidRDefault="009E6503" w:rsidP="00C974F5">
      <w:pPr>
        <w:ind w:left="720"/>
        <w:rPr>
          <w:szCs w:val="20"/>
        </w:rPr>
      </w:pPr>
    </w:p>
    <w:p w14:paraId="781930C4" w14:textId="77777777" w:rsidR="009E6503" w:rsidRDefault="00AF7FD6" w:rsidP="00C974F5">
      <w:pPr>
        <w:ind w:left="720"/>
        <w:rPr>
          <w:szCs w:val="20"/>
        </w:rPr>
      </w:pPr>
      <w:r>
        <w:rPr>
          <w:szCs w:val="20"/>
        </w:rPr>
        <w:t>If you reach the pay band maximum, you will only receive the amount of the pay award th</w:t>
      </w:r>
      <w:r w:rsidR="00984B3B">
        <w:rPr>
          <w:szCs w:val="20"/>
        </w:rPr>
        <w:t xml:space="preserve">at takes you to the band maxima. </w:t>
      </w:r>
      <w:r>
        <w:rPr>
          <w:szCs w:val="20"/>
        </w:rPr>
        <w:t xml:space="preserve"> </w:t>
      </w:r>
    </w:p>
    <w:p w14:paraId="781930C5" w14:textId="77777777" w:rsidR="00AF7FD6" w:rsidRDefault="00AF7FD6" w:rsidP="00C974F5">
      <w:pPr>
        <w:ind w:left="720"/>
        <w:rPr>
          <w:szCs w:val="20"/>
        </w:rPr>
      </w:pPr>
    </w:p>
    <w:p w14:paraId="781930C6" w14:textId="77777777" w:rsidR="001A4C77" w:rsidRPr="00D027A7" w:rsidRDefault="00C41CDD" w:rsidP="00C974F5">
      <w:pPr>
        <w:pStyle w:val="ListParagraph"/>
        <w:numPr>
          <w:ilvl w:val="0"/>
          <w:numId w:val="23"/>
        </w:numPr>
        <w:jc w:val="left"/>
        <w:rPr>
          <w:rFonts w:ascii="Verdana" w:hAnsi="Verdana"/>
          <w:sz w:val="20"/>
          <w:u w:val="single"/>
        </w:rPr>
      </w:pPr>
      <w:r>
        <w:rPr>
          <w:rFonts w:ascii="Verdana" w:hAnsi="Verdana"/>
          <w:sz w:val="20"/>
          <w:u w:val="single"/>
        </w:rPr>
        <w:t xml:space="preserve">What happens to </w:t>
      </w:r>
      <w:r w:rsidR="00C15B1C">
        <w:rPr>
          <w:rFonts w:ascii="Verdana" w:hAnsi="Verdana"/>
          <w:sz w:val="20"/>
          <w:u w:val="single"/>
        </w:rPr>
        <w:t xml:space="preserve">individuals who have left </w:t>
      </w:r>
      <w:r>
        <w:rPr>
          <w:rFonts w:ascii="Verdana" w:hAnsi="Verdana"/>
          <w:sz w:val="20"/>
          <w:u w:val="single"/>
        </w:rPr>
        <w:t xml:space="preserve">on a </w:t>
      </w:r>
      <w:r w:rsidR="001A4C77" w:rsidRPr="00D027A7">
        <w:rPr>
          <w:rFonts w:ascii="Verdana" w:hAnsi="Verdana"/>
          <w:sz w:val="20"/>
          <w:u w:val="single"/>
        </w:rPr>
        <w:t xml:space="preserve">Career </w:t>
      </w:r>
      <w:r>
        <w:rPr>
          <w:rFonts w:ascii="Verdana" w:hAnsi="Verdana"/>
          <w:sz w:val="20"/>
          <w:u w:val="single"/>
        </w:rPr>
        <w:t>B</w:t>
      </w:r>
      <w:r w:rsidR="001A4C77" w:rsidRPr="00D027A7">
        <w:rPr>
          <w:rFonts w:ascii="Verdana" w:hAnsi="Verdana"/>
          <w:sz w:val="20"/>
          <w:u w:val="single"/>
        </w:rPr>
        <w:t>reak</w:t>
      </w:r>
      <w:r>
        <w:rPr>
          <w:rFonts w:ascii="Verdana" w:hAnsi="Verdana"/>
          <w:sz w:val="20"/>
          <w:u w:val="single"/>
        </w:rPr>
        <w:t>?</w:t>
      </w:r>
    </w:p>
    <w:p w14:paraId="781930C7" w14:textId="77777777" w:rsidR="00EE4EEE" w:rsidRPr="00D027A7" w:rsidRDefault="00EE4EEE" w:rsidP="00C974F5">
      <w:pPr>
        <w:ind w:left="720"/>
        <w:rPr>
          <w:szCs w:val="20"/>
          <w:u w:val="single"/>
        </w:rPr>
      </w:pPr>
    </w:p>
    <w:p w14:paraId="781930C8" w14:textId="77777777" w:rsidR="00EE4EEE" w:rsidRPr="00D027A7" w:rsidRDefault="00D4225D" w:rsidP="00C974F5">
      <w:pPr>
        <w:ind w:left="720"/>
        <w:rPr>
          <w:szCs w:val="20"/>
        </w:rPr>
      </w:pPr>
      <w:r>
        <w:rPr>
          <w:szCs w:val="20"/>
        </w:rPr>
        <w:t xml:space="preserve">Anyone on a career break and was not </w:t>
      </w:r>
      <w:r w:rsidR="00EE4EEE" w:rsidRPr="00D027A7">
        <w:rPr>
          <w:szCs w:val="20"/>
        </w:rPr>
        <w:t xml:space="preserve">on </w:t>
      </w:r>
      <w:r>
        <w:rPr>
          <w:szCs w:val="20"/>
        </w:rPr>
        <w:t xml:space="preserve">the </w:t>
      </w:r>
      <w:r w:rsidR="00C41CDD">
        <w:rPr>
          <w:szCs w:val="20"/>
        </w:rPr>
        <w:t xml:space="preserve">Ofgem </w:t>
      </w:r>
      <w:r w:rsidR="00EE4EEE" w:rsidRPr="00D027A7">
        <w:rPr>
          <w:szCs w:val="20"/>
        </w:rPr>
        <w:t>payroll on 1</w:t>
      </w:r>
      <w:r w:rsidR="00EE4EEE" w:rsidRPr="00D027A7">
        <w:rPr>
          <w:szCs w:val="20"/>
          <w:vertAlign w:val="superscript"/>
        </w:rPr>
        <w:t>st</w:t>
      </w:r>
      <w:r w:rsidR="00EE4EEE" w:rsidRPr="00D027A7">
        <w:rPr>
          <w:szCs w:val="20"/>
        </w:rPr>
        <w:t xml:space="preserve"> April 201</w:t>
      </w:r>
      <w:r>
        <w:rPr>
          <w:szCs w:val="20"/>
        </w:rPr>
        <w:t>9</w:t>
      </w:r>
      <w:r w:rsidR="00EE4EEE" w:rsidRPr="00D027A7">
        <w:rPr>
          <w:szCs w:val="20"/>
        </w:rPr>
        <w:t xml:space="preserve"> will not be eligible for the pay award at this time</w:t>
      </w:r>
      <w:r w:rsidR="004524CC">
        <w:rPr>
          <w:szCs w:val="20"/>
        </w:rPr>
        <w:t>. H</w:t>
      </w:r>
      <w:r w:rsidR="00EE4EEE" w:rsidRPr="00D027A7">
        <w:rPr>
          <w:szCs w:val="20"/>
        </w:rPr>
        <w:t>owever, if and when they return to work their starting salary upon return will be adjusted to take into account the consolidated pay award.</w:t>
      </w:r>
    </w:p>
    <w:p w14:paraId="781930C9" w14:textId="77777777" w:rsidR="001A4C77" w:rsidRPr="00D027A7" w:rsidRDefault="001A4C77" w:rsidP="00C974F5">
      <w:pPr>
        <w:ind w:left="720"/>
        <w:rPr>
          <w:color w:val="FF0000"/>
          <w:szCs w:val="20"/>
        </w:rPr>
      </w:pPr>
    </w:p>
    <w:p w14:paraId="781930CA" w14:textId="77777777" w:rsidR="001A4C77" w:rsidRPr="00D027A7" w:rsidRDefault="00D4225D" w:rsidP="00C974F5">
      <w:pPr>
        <w:pStyle w:val="ListParagraph"/>
        <w:numPr>
          <w:ilvl w:val="0"/>
          <w:numId w:val="23"/>
        </w:numPr>
        <w:spacing w:line="0" w:lineRule="atLeast"/>
        <w:jc w:val="left"/>
        <w:rPr>
          <w:rFonts w:ascii="Verdana" w:hAnsi="Verdana"/>
          <w:sz w:val="20"/>
          <w:u w:val="single"/>
        </w:rPr>
      </w:pPr>
      <w:r>
        <w:rPr>
          <w:rFonts w:ascii="Verdana" w:hAnsi="Verdana"/>
          <w:sz w:val="20"/>
          <w:u w:val="single"/>
        </w:rPr>
        <w:t>What happens to e</w:t>
      </w:r>
      <w:r w:rsidR="001A4C77" w:rsidRPr="00D027A7">
        <w:rPr>
          <w:rFonts w:ascii="Verdana" w:hAnsi="Verdana"/>
          <w:sz w:val="20"/>
          <w:u w:val="single"/>
        </w:rPr>
        <w:t xml:space="preserve">mployees who </w:t>
      </w:r>
      <w:r w:rsidR="00027E56" w:rsidRPr="00D027A7">
        <w:rPr>
          <w:rFonts w:ascii="Verdana" w:hAnsi="Verdana"/>
          <w:sz w:val="20"/>
          <w:u w:val="single"/>
        </w:rPr>
        <w:t xml:space="preserve">are on loan to </w:t>
      </w:r>
      <w:r w:rsidR="0056758C" w:rsidRPr="00D027A7">
        <w:rPr>
          <w:rFonts w:ascii="Verdana" w:hAnsi="Verdana"/>
          <w:sz w:val="20"/>
          <w:u w:val="single"/>
        </w:rPr>
        <w:t>an</w:t>
      </w:r>
      <w:r w:rsidR="00027E56" w:rsidRPr="00D027A7">
        <w:rPr>
          <w:rFonts w:ascii="Verdana" w:hAnsi="Verdana"/>
          <w:sz w:val="20"/>
          <w:u w:val="single"/>
        </w:rPr>
        <w:t>other government department</w:t>
      </w:r>
      <w:r w:rsidR="00EF39AA">
        <w:rPr>
          <w:rFonts w:ascii="Verdana" w:hAnsi="Verdana"/>
          <w:sz w:val="20"/>
          <w:u w:val="single"/>
        </w:rPr>
        <w:t>?</w:t>
      </w:r>
    </w:p>
    <w:p w14:paraId="781930CB" w14:textId="77777777" w:rsidR="001A4C77" w:rsidRPr="00D027A7" w:rsidRDefault="001A4C77" w:rsidP="00C974F5">
      <w:pPr>
        <w:spacing w:line="0" w:lineRule="atLeast"/>
        <w:ind w:left="720"/>
        <w:rPr>
          <w:szCs w:val="20"/>
        </w:rPr>
      </w:pPr>
    </w:p>
    <w:p w14:paraId="781930CC" w14:textId="77777777" w:rsidR="00786E79" w:rsidRDefault="00D4225D" w:rsidP="00C974F5">
      <w:pPr>
        <w:ind w:left="720"/>
        <w:rPr>
          <w:szCs w:val="20"/>
        </w:rPr>
      </w:pPr>
      <w:r>
        <w:rPr>
          <w:szCs w:val="20"/>
        </w:rPr>
        <w:t>You will normally be appraised and paid in accordance with the host department</w:t>
      </w:r>
      <w:r w:rsidR="00EF39AA">
        <w:rPr>
          <w:szCs w:val="20"/>
        </w:rPr>
        <w:t>’</w:t>
      </w:r>
      <w:r>
        <w:rPr>
          <w:szCs w:val="20"/>
        </w:rPr>
        <w:t xml:space="preserve">s systems. Your loan agreement will detail these arrangements. </w:t>
      </w:r>
    </w:p>
    <w:p w14:paraId="781930CD" w14:textId="77777777" w:rsidR="00493239" w:rsidRDefault="00493239" w:rsidP="00493239">
      <w:pPr>
        <w:rPr>
          <w:szCs w:val="20"/>
        </w:rPr>
      </w:pPr>
    </w:p>
    <w:p w14:paraId="781930CE" w14:textId="77777777" w:rsidR="00493239" w:rsidRDefault="00493239" w:rsidP="00493239">
      <w:pPr>
        <w:rPr>
          <w:b/>
          <w:szCs w:val="20"/>
          <w:u w:val="single"/>
        </w:rPr>
      </w:pPr>
      <w:r>
        <w:rPr>
          <w:b/>
          <w:szCs w:val="20"/>
          <w:u w:val="single"/>
        </w:rPr>
        <w:t>Bonus (or performance related pay)</w:t>
      </w:r>
    </w:p>
    <w:p w14:paraId="781930CF" w14:textId="77777777" w:rsidR="00493239" w:rsidRDefault="00493239" w:rsidP="00493239">
      <w:pPr>
        <w:rPr>
          <w:b/>
          <w:szCs w:val="20"/>
          <w:u w:val="single"/>
        </w:rPr>
      </w:pPr>
    </w:p>
    <w:p w14:paraId="781930D0" w14:textId="77777777" w:rsidR="00493239" w:rsidRPr="00493239" w:rsidRDefault="00493239" w:rsidP="006315C5">
      <w:pPr>
        <w:pStyle w:val="ListParagraph"/>
        <w:numPr>
          <w:ilvl w:val="0"/>
          <w:numId w:val="23"/>
        </w:numPr>
        <w:jc w:val="left"/>
        <w:rPr>
          <w:rFonts w:ascii="Verdana" w:hAnsi="Verdana"/>
          <w:sz w:val="20"/>
        </w:rPr>
      </w:pPr>
      <w:r w:rsidRPr="00493239">
        <w:rPr>
          <w:rFonts w:ascii="Verdana" w:hAnsi="Verdana"/>
          <w:sz w:val="20"/>
          <w:u w:val="single"/>
        </w:rPr>
        <w:t xml:space="preserve">How do I know if I am eligible for a bonus? </w:t>
      </w:r>
    </w:p>
    <w:p w14:paraId="781930D1" w14:textId="77777777" w:rsidR="00493239" w:rsidRDefault="00493239" w:rsidP="006315C5">
      <w:pPr>
        <w:pStyle w:val="ListParagraph"/>
        <w:jc w:val="left"/>
        <w:rPr>
          <w:u w:val="single"/>
        </w:rPr>
      </w:pPr>
    </w:p>
    <w:p w14:paraId="781930D2" w14:textId="77777777" w:rsidR="00CF25D3" w:rsidRDefault="00EF39AA" w:rsidP="006315C5">
      <w:pPr>
        <w:pStyle w:val="ListParagraph"/>
        <w:jc w:val="left"/>
        <w:rPr>
          <w:rFonts w:ascii="Verdana" w:hAnsi="Verdana"/>
          <w:sz w:val="20"/>
        </w:rPr>
      </w:pPr>
      <w:r>
        <w:rPr>
          <w:rFonts w:ascii="Verdana" w:hAnsi="Verdana"/>
          <w:sz w:val="20"/>
        </w:rPr>
        <w:t>The performance year for this bonus is April 2018 to March 2019. Therefore i</w:t>
      </w:r>
      <w:r w:rsidR="00CF25D3">
        <w:rPr>
          <w:rFonts w:ascii="Verdana" w:hAnsi="Verdana"/>
          <w:sz w:val="20"/>
        </w:rPr>
        <w:t xml:space="preserve">f you are </w:t>
      </w:r>
      <w:r w:rsidR="00D37935">
        <w:rPr>
          <w:rFonts w:ascii="Verdana" w:hAnsi="Verdana"/>
          <w:sz w:val="20"/>
        </w:rPr>
        <w:t>on the payroll and you joined on or after 1</w:t>
      </w:r>
      <w:r w:rsidR="00D37935" w:rsidRPr="00D37935">
        <w:rPr>
          <w:rFonts w:ascii="Verdana" w:hAnsi="Verdana"/>
          <w:sz w:val="20"/>
          <w:vertAlign w:val="superscript"/>
        </w:rPr>
        <w:t>st</w:t>
      </w:r>
      <w:r w:rsidR="00D37935">
        <w:rPr>
          <w:rFonts w:ascii="Verdana" w:hAnsi="Verdana"/>
          <w:sz w:val="20"/>
        </w:rPr>
        <w:t xml:space="preserve"> April 2018 you will be eligible for a bonus if you have a box marking rating of ‘achieving’ or ‘high performing’. </w:t>
      </w:r>
    </w:p>
    <w:p w14:paraId="781930D3" w14:textId="77777777" w:rsidR="00060CB7" w:rsidRDefault="00060CB7" w:rsidP="006315C5">
      <w:pPr>
        <w:pStyle w:val="ListParagraph"/>
        <w:jc w:val="left"/>
        <w:rPr>
          <w:rFonts w:ascii="Verdana" w:hAnsi="Verdana"/>
          <w:sz w:val="20"/>
        </w:rPr>
      </w:pPr>
    </w:p>
    <w:p w14:paraId="781930D4" w14:textId="77777777" w:rsidR="006315C5" w:rsidRDefault="006315C5" w:rsidP="006315C5">
      <w:pPr>
        <w:pStyle w:val="ListParagraph"/>
        <w:jc w:val="left"/>
        <w:rPr>
          <w:rFonts w:ascii="Verdana" w:hAnsi="Verdana"/>
          <w:sz w:val="20"/>
        </w:rPr>
      </w:pPr>
      <w:r>
        <w:rPr>
          <w:rFonts w:ascii="Verdana" w:hAnsi="Verdana"/>
          <w:sz w:val="20"/>
        </w:rPr>
        <w:t>Bonuses are awarded at Q2 (end of September) and Q4 (end of March) and they are calculated on 50% of your consolidated salary (this means that ARA’s are not included if you are in receipt of one) at 30</w:t>
      </w:r>
      <w:r w:rsidRPr="006315C5">
        <w:rPr>
          <w:rFonts w:ascii="Verdana" w:hAnsi="Verdana"/>
          <w:sz w:val="20"/>
          <w:vertAlign w:val="superscript"/>
        </w:rPr>
        <w:t>th</w:t>
      </w:r>
      <w:r>
        <w:rPr>
          <w:rFonts w:ascii="Verdana" w:hAnsi="Verdana"/>
          <w:sz w:val="20"/>
        </w:rPr>
        <w:t xml:space="preserve"> September and 31</w:t>
      </w:r>
      <w:r w:rsidRPr="006315C5">
        <w:rPr>
          <w:rFonts w:ascii="Verdana" w:hAnsi="Verdana"/>
          <w:sz w:val="20"/>
          <w:vertAlign w:val="superscript"/>
        </w:rPr>
        <w:t>st</w:t>
      </w:r>
      <w:r>
        <w:rPr>
          <w:rFonts w:ascii="Verdana" w:hAnsi="Verdana"/>
          <w:sz w:val="20"/>
        </w:rPr>
        <w:t xml:space="preserve"> March. </w:t>
      </w:r>
    </w:p>
    <w:p w14:paraId="781930D5" w14:textId="77777777" w:rsidR="006315C5" w:rsidRDefault="006315C5" w:rsidP="006315C5">
      <w:pPr>
        <w:pStyle w:val="ListParagraph"/>
        <w:jc w:val="left"/>
        <w:rPr>
          <w:rFonts w:ascii="Verdana" w:hAnsi="Verdana"/>
          <w:sz w:val="20"/>
        </w:rPr>
      </w:pPr>
    </w:p>
    <w:p w14:paraId="781930D6" w14:textId="77777777" w:rsidR="006315C5" w:rsidRDefault="006315C5" w:rsidP="006315C5">
      <w:r>
        <w:tab/>
        <w:t>If you are part-time, your bonus payment is pro-rat</w:t>
      </w:r>
      <w:r w:rsidR="00B520C4">
        <w:t>a</w:t>
      </w:r>
      <w:r>
        <w:t xml:space="preserve"> to the full-time equivalent. </w:t>
      </w:r>
    </w:p>
    <w:p w14:paraId="781930D7" w14:textId="77777777" w:rsidR="00CE3808" w:rsidRDefault="00CE3808" w:rsidP="006315C5"/>
    <w:p w14:paraId="781930D8" w14:textId="77777777" w:rsidR="00CE3808" w:rsidRPr="006315C5" w:rsidRDefault="00CE3808" w:rsidP="006315C5">
      <w:r>
        <w:tab/>
        <w:t xml:space="preserve">Bonuses are lump sum payments, non-consolidated and not subject to pension. </w:t>
      </w:r>
    </w:p>
    <w:p w14:paraId="781930D9" w14:textId="77777777" w:rsidR="00D37935" w:rsidRDefault="00D37935" w:rsidP="006315C5">
      <w:pPr>
        <w:rPr>
          <w:rFonts w:cs="Times New Roman"/>
          <w:szCs w:val="20"/>
        </w:rPr>
      </w:pPr>
      <w:r>
        <w:rPr>
          <w:rFonts w:cs="Times New Roman"/>
          <w:szCs w:val="20"/>
        </w:rPr>
        <w:tab/>
      </w:r>
    </w:p>
    <w:p w14:paraId="781930DA" w14:textId="77777777" w:rsidR="00D37935" w:rsidRPr="006315C5" w:rsidRDefault="00D37935" w:rsidP="00D37935">
      <w:pPr>
        <w:pStyle w:val="ListParagraph"/>
        <w:numPr>
          <w:ilvl w:val="0"/>
          <w:numId w:val="23"/>
        </w:numPr>
        <w:rPr>
          <w:rFonts w:ascii="Verdana" w:hAnsi="Verdana"/>
          <w:sz w:val="20"/>
          <w:u w:val="single"/>
        </w:rPr>
      </w:pPr>
      <w:r>
        <w:t xml:space="preserve"> </w:t>
      </w:r>
      <w:r w:rsidR="00060CB7">
        <w:rPr>
          <w:rFonts w:ascii="Verdana" w:hAnsi="Verdana"/>
          <w:sz w:val="20"/>
          <w:u w:val="single"/>
        </w:rPr>
        <w:t>W</w:t>
      </w:r>
      <w:r w:rsidR="006315C5" w:rsidRPr="006315C5">
        <w:rPr>
          <w:rFonts w:ascii="Verdana" w:hAnsi="Verdana"/>
          <w:sz w:val="20"/>
          <w:u w:val="single"/>
        </w:rPr>
        <w:t xml:space="preserve">hat does this mean to me if I have had different box markings in both quarters? </w:t>
      </w:r>
    </w:p>
    <w:p w14:paraId="781930DB" w14:textId="77777777" w:rsidR="00493239" w:rsidRDefault="00493239" w:rsidP="00493239">
      <w:pPr>
        <w:pStyle w:val="ListParagraph"/>
      </w:pPr>
    </w:p>
    <w:p w14:paraId="781930DC" w14:textId="77777777" w:rsidR="006315C5" w:rsidRPr="005B41DC" w:rsidRDefault="006315C5" w:rsidP="00493239">
      <w:pPr>
        <w:pStyle w:val="ListParagraph"/>
        <w:rPr>
          <w:rFonts w:ascii="Verdana" w:hAnsi="Verdana"/>
          <w:sz w:val="20"/>
        </w:rPr>
      </w:pPr>
      <w:r w:rsidRPr="005B41DC">
        <w:rPr>
          <w:rFonts w:ascii="Verdana" w:hAnsi="Verdana"/>
          <w:sz w:val="20"/>
        </w:rPr>
        <w:t>If</w:t>
      </w:r>
      <w:r w:rsidR="00FA417E">
        <w:rPr>
          <w:rFonts w:ascii="Verdana" w:hAnsi="Verdana"/>
          <w:sz w:val="20"/>
        </w:rPr>
        <w:t>, for example,</w:t>
      </w:r>
      <w:r w:rsidRPr="005B41DC">
        <w:rPr>
          <w:rFonts w:ascii="Verdana" w:hAnsi="Verdana"/>
          <w:sz w:val="20"/>
        </w:rPr>
        <w:t xml:space="preserve"> you were </w:t>
      </w:r>
      <w:r w:rsidR="00FA417E" w:rsidRPr="009C51D8">
        <w:rPr>
          <w:rFonts w:ascii="Verdana" w:hAnsi="Verdana"/>
          <w:i/>
          <w:sz w:val="20"/>
        </w:rPr>
        <w:t>H</w:t>
      </w:r>
      <w:r w:rsidRPr="009C51D8">
        <w:rPr>
          <w:rFonts w:ascii="Verdana" w:hAnsi="Verdana"/>
          <w:i/>
          <w:sz w:val="20"/>
        </w:rPr>
        <w:t xml:space="preserve">igh </w:t>
      </w:r>
      <w:r w:rsidR="00FA417E" w:rsidRPr="009C51D8">
        <w:rPr>
          <w:rFonts w:ascii="Verdana" w:hAnsi="Verdana"/>
          <w:i/>
          <w:sz w:val="20"/>
        </w:rPr>
        <w:t>P</w:t>
      </w:r>
      <w:r w:rsidRPr="009C51D8">
        <w:rPr>
          <w:rFonts w:ascii="Verdana" w:hAnsi="Verdana"/>
          <w:i/>
          <w:sz w:val="20"/>
        </w:rPr>
        <w:t>erforming</w:t>
      </w:r>
      <w:r w:rsidRPr="005B41DC">
        <w:rPr>
          <w:rFonts w:ascii="Verdana" w:hAnsi="Verdana"/>
          <w:sz w:val="20"/>
        </w:rPr>
        <w:t xml:space="preserve"> at Q2 and </w:t>
      </w:r>
      <w:r w:rsidRPr="009C51D8">
        <w:rPr>
          <w:rFonts w:ascii="Verdana" w:hAnsi="Verdana"/>
          <w:i/>
          <w:sz w:val="20"/>
        </w:rPr>
        <w:t>Achieving</w:t>
      </w:r>
      <w:r w:rsidRPr="005B41DC">
        <w:rPr>
          <w:rFonts w:ascii="Verdana" w:hAnsi="Verdana"/>
          <w:sz w:val="20"/>
        </w:rPr>
        <w:t xml:space="preserve"> at Q4</w:t>
      </w:r>
      <w:r w:rsidR="005B41DC" w:rsidRPr="005B41DC">
        <w:rPr>
          <w:rFonts w:ascii="Verdana" w:hAnsi="Verdana"/>
          <w:sz w:val="20"/>
        </w:rPr>
        <w:t>, using the agreed bonus percentages in this notice and you are on a salary of £</w:t>
      </w:r>
      <w:r w:rsidR="005B41DC">
        <w:rPr>
          <w:rFonts w:ascii="Verdana" w:hAnsi="Verdana"/>
          <w:sz w:val="20"/>
        </w:rPr>
        <w:t>40</w:t>
      </w:r>
      <w:r w:rsidR="005B41DC" w:rsidRPr="005B41DC">
        <w:rPr>
          <w:rFonts w:ascii="Verdana" w:hAnsi="Verdana"/>
          <w:sz w:val="20"/>
        </w:rPr>
        <w:t>,000</w:t>
      </w:r>
      <w:r w:rsidR="005B41DC">
        <w:rPr>
          <w:rFonts w:ascii="Verdana" w:hAnsi="Verdana"/>
          <w:sz w:val="20"/>
        </w:rPr>
        <w:t xml:space="preserve"> and you are band C,</w:t>
      </w:r>
      <w:r w:rsidR="005B41DC" w:rsidRPr="005B41DC">
        <w:rPr>
          <w:rFonts w:ascii="Verdana" w:hAnsi="Verdana"/>
          <w:sz w:val="20"/>
        </w:rPr>
        <w:t xml:space="preserve"> this is what it will mean</w:t>
      </w:r>
      <w:r w:rsidR="005B41DC">
        <w:rPr>
          <w:rFonts w:ascii="Verdana" w:hAnsi="Verdana"/>
          <w:sz w:val="20"/>
        </w:rPr>
        <w:t xml:space="preserve"> to you:</w:t>
      </w:r>
    </w:p>
    <w:p w14:paraId="781930DD" w14:textId="77777777" w:rsidR="005B41DC" w:rsidRDefault="005B41DC" w:rsidP="00493239">
      <w:pPr>
        <w:pStyle w:val="ListParagraph"/>
      </w:pPr>
    </w:p>
    <w:p w14:paraId="781930DE" w14:textId="77777777" w:rsidR="005B41DC" w:rsidRPr="00060CB7" w:rsidRDefault="005B41DC" w:rsidP="00493239">
      <w:pPr>
        <w:pStyle w:val="ListParagraph"/>
        <w:rPr>
          <w:rFonts w:ascii="Verdana" w:hAnsi="Verdana"/>
          <w:sz w:val="20"/>
        </w:rPr>
      </w:pPr>
      <w:r w:rsidRPr="00060CB7">
        <w:rPr>
          <w:rFonts w:ascii="Verdana" w:hAnsi="Verdana"/>
          <w:sz w:val="20"/>
        </w:rPr>
        <w:t>Q2: Salary</w:t>
      </w:r>
      <w:r w:rsidR="00CE3808" w:rsidRPr="00060CB7">
        <w:rPr>
          <w:rFonts w:ascii="Verdana" w:hAnsi="Verdana"/>
          <w:sz w:val="20"/>
        </w:rPr>
        <w:t xml:space="preserve"> at 30 September</w:t>
      </w:r>
      <w:r w:rsidR="00060CB7" w:rsidRPr="00060CB7">
        <w:rPr>
          <w:rFonts w:ascii="Verdana" w:hAnsi="Verdana"/>
          <w:sz w:val="20"/>
        </w:rPr>
        <w:t xml:space="preserve"> 2018</w:t>
      </w:r>
      <w:r w:rsidR="00CE3808" w:rsidRPr="00060CB7">
        <w:rPr>
          <w:rFonts w:ascii="Verdana" w:hAnsi="Verdana"/>
          <w:sz w:val="20"/>
        </w:rPr>
        <w:t xml:space="preserve"> is</w:t>
      </w:r>
      <w:r w:rsidRPr="00060CB7">
        <w:rPr>
          <w:rFonts w:ascii="Verdana" w:hAnsi="Verdana"/>
          <w:sz w:val="20"/>
        </w:rPr>
        <w:t xml:space="preserve"> £</w:t>
      </w:r>
      <w:r w:rsidR="00CE3808" w:rsidRPr="00060CB7">
        <w:rPr>
          <w:rFonts w:ascii="Verdana" w:hAnsi="Verdana"/>
          <w:sz w:val="20"/>
        </w:rPr>
        <w:t>4</w:t>
      </w:r>
      <w:r w:rsidRPr="00060CB7">
        <w:rPr>
          <w:rFonts w:ascii="Verdana" w:hAnsi="Verdana"/>
          <w:sz w:val="20"/>
        </w:rPr>
        <w:t>0,000</w:t>
      </w:r>
      <w:r w:rsidR="00CE3808" w:rsidRPr="00060CB7">
        <w:rPr>
          <w:rFonts w:ascii="Verdana" w:hAnsi="Verdana"/>
          <w:sz w:val="20"/>
        </w:rPr>
        <w:t xml:space="preserve">: at 4.5% </w:t>
      </w:r>
      <w:r w:rsidR="00060CB7" w:rsidRPr="00060CB7">
        <w:rPr>
          <w:rFonts w:ascii="Verdana" w:hAnsi="Verdana"/>
          <w:sz w:val="20"/>
        </w:rPr>
        <w:t xml:space="preserve">(HP) </w:t>
      </w:r>
      <w:r w:rsidR="00CE3808" w:rsidRPr="00060CB7">
        <w:rPr>
          <w:rFonts w:ascii="Verdana" w:hAnsi="Verdana"/>
          <w:sz w:val="20"/>
        </w:rPr>
        <w:t xml:space="preserve">is £1800 @ 50% is £900. </w:t>
      </w:r>
      <w:r w:rsidRPr="00060CB7">
        <w:rPr>
          <w:rFonts w:ascii="Verdana" w:hAnsi="Verdana"/>
          <w:sz w:val="20"/>
        </w:rPr>
        <w:t xml:space="preserve"> </w:t>
      </w:r>
    </w:p>
    <w:p w14:paraId="781930DF" w14:textId="77777777" w:rsidR="00060CB7" w:rsidRPr="00060CB7" w:rsidRDefault="00060CB7" w:rsidP="00493239">
      <w:pPr>
        <w:pStyle w:val="ListParagraph"/>
        <w:rPr>
          <w:rFonts w:ascii="Verdana" w:hAnsi="Verdana"/>
          <w:sz w:val="20"/>
        </w:rPr>
      </w:pPr>
      <w:r w:rsidRPr="00060CB7">
        <w:rPr>
          <w:rFonts w:ascii="Verdana" w:hAnsi="Verdana"/>
          <w:sz w:val="20"/>
        </w:rPr>
        <w:t>Q4: Salary at 31 March 2019 is £40,000: at 1.75% (A) is £700 @ 50% is £350.</w:t>
      </w:r>
    </w:p>
    <w:p w14:paraId="781930E0" w14:textId="77777777" w:rsidR="00060CB7" w:rsidRDefault="00060CB7" w:rsidP="00493239">
      <w:pPr>
        <w:pStyle w:val="ListParagraph"/>
        <w:rPr>
          <w:rFonts w:ascii="Verdana" w:hAnsi="Verdana"/>
          <w:sz w:val="20"/>
        </w:rPr>
      </w:pPr>
      <w:r w:rsidRPr="00060CB7">
        <w:rPr>
          <w:rFonts w:ascii="Verdana" w:hAnsi="Verdana"/>
          <w:sz w:val="20"/>
        </w:rPr>
        <w:t xml:space="preserve">Your payslip will show Q2 payment as one entry and Q4 as another entry. </w:t>
      </w:r>
    </w:p>
    <w:p w14:paraId="781930E1" w14:textId="77777777" w:rsidR="00AB4C54" w:rsidRDefault="00AB4C54" w:rsidP="00493239">
      <w:pPr>
        <w:pStyle w:val="ListParagraph"/>
        <w:rPr>
          <w:rFonts w:ascii="Verdana" w:hAnsi="Verdana"/>
          <w:sz w:val="20"/>
        </w:rPr>
      </w:pPr>
    </w:p>
    <w:p w14:paraId="781930E2" w14:textId="77777777" w:rsidR="00C41CDD" w:rsidRPr="00060CB7" w:rsidRDefault="00C41CDD" w:rsidP="00493239">
      <w:pPr>
        <w:pStyle w:val="ListParagraph"/>
        <w:rPr>
          <w:rFonts w:ascii="Verdana" w:hAnsi="Verdana"/>
          <w:sz w:val="20"/>
        </w:rPr>
      </w:pPr>
      <w:r>
        <w:rPr>
          <w:rFonts w:ascii="Verdana" w:hAnsi="Verdana"/>
          <w:sz w:val="20"/>
        </w:rPr>
        <w:t xml:space="preserve">If you are part-time, your bonus payment is pro-rated from the full-time equivalent. If your hours have changed during the six month period, the bonus will be adjusted accordingly. </w:t>
      </w:r>
    </w:p>
    <w:p w14:paraId="781930E3" w14:textId="77777777" w:rsidR="00060CB7" w:rsidRDefault="00060CB7" w:rsidP="00060CB7"/>
    <w:p w14:paraId="781930E4" w14:textId="77777777" w:rsidR="00060CB7" w:rsidRPr="00C41CDD" w:rsidRDefault="00060CB7" w:rsidP="00060CB7">
      <w:pPr>
        <w:pStyle w:val="ListParagraph"/>
        <w:numPr>
          <w:ilvl w:val="0"/>
          <w:numId w:val="23"/>
        </w:numPr>
        <w:rPr>
          <w:rFonts w:ascii="Verdana" w:hAnsi="Verdana"/>
          <w:sz w:val="20"/>
        </w:rPr>
      </w:pPr>
      <w:r>
        <w:t xml:space="preserve"> </w:t>
      </w:r>
      <w:r w:rsidRPr="00C41CDD">
        <w:rPr>
          <w:rFonts w:ascii="Verdana" w:hAnsi="Verdana"/>
          <w:sz w:val="20"/>
          <w:u w:val="single"/>
        </w:rPr>
        <w:t xml:space="preserve">What if I am on probation? </w:t>
      </w:r>
    </w:p>
    <w:p w14:paraId="781930E5" w14:textId="77777777" w:rsidR="00060CB7" w:rsidRPr="00C41CDD" w:rsidRDefault="00060CB7" w:rsidP="00060CB7">
      <w:pPr>
        <w:pStyle w:val="ListParagraph"/>
        <w:rPr>
          <w:rFonts w:ascii="Verdana" w:hAnsi="Verdana"/>
          <w:sz w:val="20"/>
          <w:u w:val="single"/>
        </w:rPr>
      </w:pPr>
    </w:p>
    <w:p w14:paraId="781930E6" w14:textId="77777777" w:rsidR="00060CB7" w:rsidRPr="00C41CDD" w:rsidRDefault="00FA417E" w:rsidP="00060CB7">
      <w:pPr>
        <w:pStyle w:val="ListParagraph"/>
        <w:rPr>
          <w:rFonts w:ascii="Verdana" w:hAnsi="Verdana"/>
          <w:sz w:val="20"/>
        </w:rPr>
      </w:pPr>
      <w:r>
        <w:rPr>
          <w:rFonts w:ascii="Verdana" w:hAnsi="Verdana"/>
          <w:sz w:val="20"/>
        </w:rPr>
        <w:t>I</w:t>
      </w:r>
      <w:r w:rsidR="00060CB7" w:rsidRPr="00C41CDD">
        <w:rPr>
          <w:rFonts w:ascii="Verdana" w:hAnsi="Verdana"/>
          <w:sz w:val="20"/>
        </w:rPr>
        <w:t>n your first six months of employment your box marking is ‘new to role/new to Ofgem’</w:t>
      </w:r>
      <w:r>
        <w:rPr>
          <w:rFonts w:ascii="Verdana" w:hAnsi="Verdana"/>
          <w:sz w:val="20"/>
        </w:rPr>
        <w:t xml:space="preserve"> by default</w:t>
      </w:r>
      <w:r w:rsidR="00060CB7" w:rsidRPr="00C41CDD">
        <w:rPr>
          <w:rFonts w:ascii="Verdana" w:hAnsi="Verdana"/>
          <w:sz w:val="20"/>
        </w:rPr>
        <w:t>. You are treated as part of the probationary process and policy and not part of th</w:t>
      </w:r>
      <w:r w:rsidR="0061469A">
        <w:rPr>
          <w:rFonts w:ascii="Verdana" w:hAnsi="Verdana"/>
          <w:sz w:val="20"/>
        </w:rPr>
        <w:t>e</w:t>
      </w:r>
      <w:r w:rsidR="00060CB7" w:rsidRPr="00C41CDD">
        <w:rPr>
          <w:rFonts w:ascii="Verdana" w:hAnsi="Verdana"/>
          <w:sz w:val="20"/>
        </w:rPr>
        <w:t xml:space="preserve"> performance management </w:t>
      </w:r>
      <w:r w:rsidR="001A4A17">
        <w:rPr>
          <w:rFonts w:ascii="Verdana" w:hAnsi="Verdana"/>
          <w:sz w:val="20"/>
        </w:rPr>
        <w:t>framework</w:t>
      </w:r>
      <w:r w:rsidR="00060CB7" w:rsidRPr="00C41CDD">
        <w:rPr>
          <w:rFonts w:ascii="Verdana" w:hAnsi="Verdana"/>
          <w:sz w:val="20"/>
        </w:rPr>
        <w:t xml:space="preserve">. </w:t>
      </w:r>
    </w:p>
    <w:p w14:paraId="781930E7" w14:textId="77777777" w:rsidR="00060CB7" w:rsidRPr="00C41CDD" w:rsidRDefault="00060CB7" w:rsidP="00060CB7">
      <w:pPr>
        <w:pStyle w:val="ListParagraph"/>
        <w:rPr>
          <w:rFonts w:ascii="Verdana" w:hAnsi="Verdana"/>
          <w:sz w:val="20"/>
        </w:rPr>
      </w:pPr>
    </w:p>
    <w:p w14:paraId="781930E8" w14:textId="77777777" w:rsidR="00060CB7" w:rsidRPr="00C41CDD" w:rsidRDefault="00060CB7" w:rsidP="00060CB7">
      <w:pPr>
        <w:pStyle w:val="ListParagraph"/>
        <w:rPr>
          <w:rFonts w:ascii="Verdana" w:hAnsi="Verdana"/>
          <w:sz w:val="20"/>
        </w:rPr>
      </w:pPr>
    </w:p>
    <w:p w14:paraId="781930E9" w14:textId="77777777" w:rsidR="00060CB7" w:rsidRPr="00C41CDD" w:rsidRDefault="00060CB7" w:rsidP="00060CB7">
      <w:pPr>
        <w:pStyle w:val="ListParagraph"/>
        <w:rPr>
          <w:rFonts w:ascii="Verdana" w:hAnsi="Verdana"/>
          <w:sz w:val="20"/>
        </w:rPr>
      </w:pPr>
      <w:r w:rsidRPr="00C41CDD">
        <w:rPr>
          <w:rFonts w:ascii="Verdana" w:hAnsi="Verdana"/>
          <w:sz w:val="20"/>
        </w:rPr>
        <w:t xml:space="preserve">If your probation period </w:t>
      </w:r>
      <w:r w:rsidR="00C41CDD" w:rsidRPr="00C41CDD">
        <w:rPr>
          <w:rFonts w:ascii="Verdana" w:hAnsi="Verdana"/>
          <w:sz w:val="20"/>
        </w:rPr>
        <w:t>expire</w:t>
      </w:r>
      <w:r w:rsidR="00E440AD">
        <w:rPr>
          <w:rFonts w:ascii="Verdana" w:hAnsi="Verdana"/>
          <w:sz w:val="20"/>
        </w:rPr>
        <w:t>d</w:t>
      </w:r>
      <w:r w:rsidR="00C41CDD" w:rsidRPr="00C41CDD">
        <w:rPr>
          <w:rFonts w:ascii="Verdana" w:hAnsi="Verdana"/>
          <w:sz w:val="20"/>
        </w:rPr>
        <w:t xml:space="preserve"> after or on 30 September</w:t>
      </w:r>
      <w:r w:rsidR="00E440AD">
        <w:rPr>
          <w:rFonts w:ascii="Verdana" w:hAnsi="Verdana"/>
          <w:sz w:val="20"/>
        </w:rPr>
        <w:t xml:space="preserve"> 2018</w:t>
      </w:r>
      <w:r w:rsidR="00C41CDD" w:rsidRPr="00C41CDD">
        <w:rPr>
          <w:rFonts w:ascii="Verdana" w:hAnsi="Verdana"/>
          <w:sz w:val="20"/>
        </w:rPr>
        <w:t xml:space="preserve">, you will not be eligible for any Q2 bonus. Provided you have received either a </w:t>
      </w:r>
      <w:r w:rsidR="00FA417E" w:rsidRPr="009C51D8">
        <w:rPr>
          <w:rFonts w:ascii="Verdana" w:hAnsi="Verdana"/>
          <w:i/>
          <w:sz w:val="20"/>
        </w:rPr>
        <w:t>H</w:t>
      </w:r>
      <w:r w:rsidR="00C41CDD" w:rsidRPr="009C51D8">
        <w:rPr>
          <w:rFonts w:ascii="Verdana" w:hAnsi="Verdana"/>
          <w:i/>
          <w:sz w:val="20"/>
        </w:rPr>
        <w:t xml:space="preserve">igh </w:t>
      </w:r>
      <w:r w:rsidR="00FA417E" w:rsidRPr="009C51D8">
        <w:rPr>
          <w:rFonts w:ascii="Verdana" w:hAnsi="Verdana"/>
          <w:i/>
          <w:sz w:val="20"/>
        </w:rPr>
        <w:t>P</w:t>
      </w:r>
      <w:r w:rsidR="00C41CDD" w:rsidRPr="009C51D8">
        <w:rPr>
          <w:rFonts w:ascii="Verdana" w:hAnsi="Verdana"/>
          <w:i/>
          <w:sz w:val="20"/>
        </w:rPr>
        <w:t>erforming</w:t>
      </w:r>
      <w:r w:rsidR="00C41CDD" w:rsidRPr="00C41CDD">
        <w:rPr>
          <w:rFonts w:ascii="Verdana" w:hAnsi="Verdana"/>
          <w:sz w:val="20"/>
        </w:rPr>
        <w:t xml:space="preserve"> or </w:t>
      </w:r>
      <w:r w:rsidR="00FA417E" w:rsidRPr="009C51D8">
        <w:rPr>
          <w:rFonts w:ascii="Verdana" w:hAnsi="Verdana"/>
          <w:i/>
          <w:sz w:val="20"/>
        </w:rPr>
        <w:t>A</w:t>
      </w:r>
      <w:r w:rsidR="00C41CDD" w:rsidRPr="009C51D8">
        <w:rPr>
          <w:rFonts w:ascii="Verdana" w:hAnsi="Verdana"/>
          <w:i/>
          <w:sz w:val="20"/>
        </w:rPr>
        <w:t xml:space="preserve">chieving </w:t>
      </w:r>
      <w:r w:rsidR="00C41CDD" w:rsidRPr="00C41CDD">
        <w:rPr>
          <w:rFonts w:ascii="Verdana" w:hAnsi="Verdana"/>
          <w:sz w:val="20"/>
        </w:rPr>
        <w:t xml:space="preserve">box marking at Q4, you will be eligible for a half-yearly bonus payment. </w:t>
      </w:r>
    </w:p>
    <w:p w14:paraId="781930EA" w14:textId="77777777" w:rsidR="00C41CDD" w:rsidRPr="00C41CDD" w:rsidRDefault="00C41CDD" w:rsidP="00060CB7">
      <w:pPr>
        <w:pStyle w:val="ListParagraph"/>
        <w:rPr>
          <w:rFonts w:ascii="Verdana" w:hAnsi="Verdana"/>
          <w:sz w:val="20"/>
        </w:rPr>
      </w:pPr>
    </w:p>
    <w:p w14:paraId="781930EB" w14:textId="77777777" w:rsidR="00C41CDD" w:rsidRDefault="00C41CDD" w:rsidP="00060CB7">
      <w:pPr>
        <w:pStyle w:val="ListParagraph"/>
        <w:rPr>
          <w:rFonts w:ascii="Verdana" w:hAnsi="Verdana"/>
          <w:sz w:val="20"/>
        </w:rPr>
      </w:pPr>
      <w:r w:rsidRPr="00C41CDD">
        <w:rPr>
          <w:rFonts w:ascii="Verdana" w:hAnsi="Verdana"/>
          <w:sz w:val="20"/>
        </w:rPr>
        <w:t xml:space="preserve">Where your probation period expires on or after 31 March 2019, you are not eligible for a bonus payment at Q4. </w:t>
      </w:r>
    </w:p>
    <w:p w14:paraId="781930EC" w14:textId="77777777" w:rsidR="00C41CDD" w:rsidRDefault="00C41CDD" w:rsidP="00C41CDD">
      <w:r>
        <w:t xml:space="preserve">  </w:t>
      </w:r>
    </w:p>
    <w:p w14:paraId="781930ED" w14:textId="77777777" w:rsidR="00C41CDD" w:rsidRPr="001A4A17" w:rsidRDefault="00C41CDD" w:rsidP="00C41CDD">
      <w:pPr>
        <w:pStyle w:val="ListParagraph"/>
        <w:numPr>
          <w:ilvl w:val="0"/>
          <w:numId w:val="23"/>
        </w:numPr>
        <w:rPr>
          <w:rFonts w:ascii="Verdana" w:hAnsi="Verdana"/>
          <w:sz w:val="20"/>
        </w:rPr>
      </w:pPr>
      <w:r w:rsidRPr="001A4A17">
        <w:rPr>
          <w:rFonts w:ascii="Verdana" w:hAnsi="Verdana"/>
          <w:sz w:val="20"/>
          <w:u w:val="single"/>
        </w:rPr>
        <w:t>What if I have transferred from another government department?</w:t>
      </w:r>
    </w:p>
    <w:p w14:paraId="781930EE" w14:textId="77777777" w:rsidR="00C41CDD" w:rsidRPr="001A4A17" w:rsidRDefault="00C41CDD" w:rsidP="00C41CDD">
      <w:pPr>
        <w:pStyle w:val="ListParagraph"/>
        <w:rPr>
          <w:rFonts w:ascii="Verdana" w:hAnsi="Verdana"/>
          <w:sz w:val="20"/>
          <w:u w:val="single"/>
        </w:rPr>
      </w:pPr>
    </w:p>
    <w:p w14:paraId="781930EF" w14:textId="77777777" w:rsidR="00C41CDD" w:rsidRPr="001A4A17" w:rsidRDefault="001A4A17" w:rsidP="00C41CDD">
      <w:pPr>
        <w:pStyle w:val="ListParagraph"/>
        <w:rPr>
          <w:rFonts w:ascii="Verdana" w:hAnsi="Verdana"/>
          <w:sz w:val="20"/>
        </w:rPr>
      </w:pPr>
      <w:r w:rsidRPr="001A4A17">
        <w:rPr>
          <w:rFonts w:ascii="Verdana" w:hAnsi="Verdana"/>
          <w:sz w:val="20"/>
        </w:rPr>
        <w:t xml:space="preserve">Whether you have transferred on loan or otherwise; you will receive a bonus if you have a box marking of either </w:t>
      </w:r>
      <w:r w:rsidR="00E440AD" w:rsidRPr="009C51D8">
        <w:rPr>
          <w:rFonts w:ascii="Verdana" w:hAnsi="Verdana"/>
          <w:i/>
          <w:sz w:val="20"/>
        </w:rPr>
        <w:t>H</w:t>
      </w:r>
      <w:r w:rsidRPr="009C51D8">
        <w:rPr>
          <w:rFonts w:ascii="Verdana" w:hAnsi="Verdana"/>
          <w:i/>
          <w:sz w:val="20"/>
        </w:rPr>
        <w:t xml:space="preserve">igh </w:t>
      </w:r>
      <w:r w:rsidR="00E440AD" w:rsidRPr="009C51D8">
        <w:rPr>
          <w:rFonts w:ascii="Verdana" w:hAnsi="Verdana"/>
          <w:i/>
          <w:sz w:val="20"/>
        </w:rPr>
        <w:t>P</w:t>
      </w:r>
      <w:r w:rsidRPr="009C51D8">
        <w:rPr>
          <w:rFonts w:ascii="Verdana" w:hAnsi="Verdana"/>
          <w:i/>
          <w:sz w:val="20"/>
        </w:rPr>
        <w:t>erforming</w:t>
      </w:r>
      <w:r w:rsidRPr="001A4A17">
        <w:rPr>
          <w:rFonts w:ascii="Verdana" w:hAnsi="Verdana"/>
          <w:sz w:val="20"/>
        </w:rPr>
        <w:t xml:space="preserve"> or </w:t>
      </w:r>
      <w:r w:rsidR="00E440AD" w:rsidRPr="009C51D8">
        <w:rPr>
          <w:rFonts w:ascii="Verdana" w:hAnsi="Verdana"/>
          <w:i/>
          <w:sz w:val="20"/>
        </w:rPr>
        <w:t>A</w:t>
      </w:r>
      <w:r w:rsidRPr="009C51D8">
        <w:rPr>
          <w:rFonts w:ascii="Verdana" w:hAnsi="Verdana"/>
          <w:i/>
          <w:sz w:val="20"/>
        </w:rPr>
        <w:t>chieving</w:t>
      </w:r>
      <w:r w:rsidRPr="001A4A17">
        <w:rPr>
          <w:rFonts w:ascii="Verdana" w:hAnsi="Verdana"/>
          <w:sz w:val="20"/>
        </w:rPr>
        <w:t xml:space="preserve">. If you are still in the box category that includes </w:t>
      </w:r>
      <w:r w:rsidR="00E440AD" w:rsidRPr="009C51D8">
        <w:rPr>
          <w:rFonts w:ascii="Verdana" w:hAnsi="Verdana"/>
          <w:i/>
          <w:sz w:val="20"/>
        </w:rPr>
        <w:t>N</w:t>
      </w:r>
      <w:r w:rsidRPr="009C51D8">
        <w:rPr>
          <w:rFonts w:ascii="Verdana" w:hAnsi="Verdana"/>
          <w:i/>
          <w:sz w:val="20"/>
        </w:rPr>
        <w:t>ew to role</w:t>
      </w:r>
      <w:r w:rsidRPr="001A4A17">
        <w:rPr>
          <w:rFonts w:ascii="Verdana" w:hAnsi="Verdana"/>
          <w:sz w:val="20"/>
        </w:rPr>
        <w:t xml:space="preserve"> at Q2 or Q4, you will not receive a bonus. </w:t>
      </w:r>
    </w:p>
    <w:p w14:paraId="781930F0" w14:textId="77777777" w:rsidR="001A4A17" w:rsidRPr="001A4A17" w:rsidRDefault="001A4A17" w:rsidP="00C41CDD">
      <w:pPr>
        <w:pStyle w:val="ListParagraph"/>
        <w:rPr>
          <w:rFonts w:ascii="Verdana" w:hAnsi="Verdana"/>
          <w:sz w:val="20"/>
        </w:rPr>
      </w:pPr>
    </w:p>
    <w:p w14:paraId="781930F1" w14:textId="77777777" w:rsidR="001A4A17" w:rsidRDefault="001A4A17" w:rsidP="00C41CDD">
      <w:pPr>
        <w:pStyle w:val="ListParagraph"/>
        <w:rPr>
          <w:rFonts w:ascii="Verdana" w:hAnsi="Verdana"/>
          <w:sz w:val="20"/>
        </w:rPr>
      </w:pPr>
      <w:r w:rsidRPr="001A4A17">
        <w:rPr>
          <w:rFonts w:ascii="Verdana" w:hAnsi="Verdana"/>
          <w:sz w:val="20"/>
        </w:rPr>
        <w:t>Any bonus must take into account any award from your previous department which the People team will check manually.</w:t>
      </w:r>
    </w:p>
    <w:p w14:paraId="781930F2" w14:textId="77777777" w:rsidR="007F5452" w:rsidRDefault="007F5452" w:rsidP="00C41CDD">
      <w:pPr>
        <w:pStyle w:val="ListParagraph"/>
        <w:rPr>
          <w:rFonts w:ascii="Verdana" w:hAnsi="Verdana"/>
          <w:sz w:val="20"/>
        </w:rPr>
      </w:pPr>
    </w:p>
    <w:p w14:paraId="781930F3" w14:textId="77777777" w:rsidR="001A4A17" w:rsidRPr="007F5452" w:rsidRDefault="007F5452" w:rsidP="001A4A17">
      <w:pPr>
        <w:pStyle w:val="ListParagraph"/>
        <w:numPr>
          <w:ilvl w:val="0"/>
          <w:numId w:val="23"/>
        </w:numPr>
        <w:rPr>
          <w:rFonts w:ascii="Verdana" w:hAnsi="Verdana"/>
          <w:sz w:val="20"/>
          <w:u w:val="single"/>
        </w:rPr>
      </w:pPr>
      <w:r w:rsidRPr="007F5452">
        <w:rPr>
          <w:rFonts w:ascii="Verdana" w:hAnsi="Verdana"/>
          <w:sz w:val="20"/>
          <w:u w:val="single"/>
        </w:rPr>
        <w:t>How am I affected if I have been promoted (either permanently or temporarily) during the performance year</w:t>
      </w:r>
      <w:r w:rsidR="0066138B">
        <w:rPr>
          <w:rFonts w:ascii="Verdana" w:hAnsi="Verdana"/>
          <w:sz w:val="20"/>
          <w:u w:val="single"/>
        </w:rPr>
        <w:t xml:space="preserve"> or I have transferred to a new post on level transfer</w:t>
      </w:r>
      <w:r w:rsidRPr="007F5452">
        <w:rPr>
          <w:rFonts w:ascii="Verdana" w:hAnsi="Verdana"/>
          <w:sz w:val="20"/>
          <w:u w:val="single"/>
        </w:rPr>
        <w:t xml:space="preserve">? </w:t>
      </w:r>
    </w:p>
    <w:p w14:paraId="781930F4" w14:textId="77777777" w:rsidR="007F5452" w:rsidRDefault="007F5452" w:rsidP="007F5452"/>
    <w:p w14:paraId="781930F5" w14:textId="77777777" w:rsidR="007F5452" w:rsidRPr="00B520C4" w:rsidRDefault="007F5452" w:rsidP="009C51D8">
      <w:pPr>
        <w:pStyle w:val="ListParagraph"/>
      </w:pPr>
      <w:r w:rsidRPr="009C51D8">
        <w:rPr>
          <w:rFonts w:ascii="Verdana" w:hAnsi="Verdana"/>
          <w:sz w:val="20"/>
        </w:rPr>
        <w:t xml:space="preserve">You may be considered in the box category that includes </w:t>
      </w:r>
      <w:r w:rsidR="00E440AD" w:rsidRPr="009C51D8">
        <w:rPr>
          <w:rFonts w:ascii="Verdana" w:hAnsi="Verdana"/>
          <w:i/>
          <w:sz w:val="20"/>
        </w:rPr>
        <w:t>N</w:t>
      </w:r>
      <w:r w:rsidRPr="009C51D8">
        <w:rPr>
          <w:rFonts w:ascii="Verdana" w:hAnsi="Verdana"/>
          <w:i/>
          <w:sz w:val="20"/>
        </w:rPr>
        <w:t>ew to role</w:t>
      </w:r>
      <w:r w:rsidRPr="009C51D8">
        <w:rPr>
          <w:rFonts w:ascii="Verdana" w:hAnsi="Verdana"/>
          <w:sz w:val="20"/>
        </w:rPr>
        <w:t xml:space="preserve">. The expectation is that you should be </w:t>
      </w:r>
      <w:r w:rsidR="00E440AD" w:rsidRPr="009C51D8">
        <w:rPr>
          <w:rFonts w:ascii="Verdana" w:hAnsi="Verdana"/>
          <w:i/>
          <w:sz w:val="20"/>
        </w:rPr>
        <w:t>A</w:t>
      </w:r>
      <w:r w:rsidRPr="009C51D8">
        <w:rPr>
          <w:rFonts w:ascii="Verdana" w:hAnsi="Verdana"/>
          <w:i/>
          <w:sz w:val="20"/>
        </w:rPr>
        <w:t>chieving</w:t>
      </w:r>
      <w:r w:rsidRPr="009C51D8">
        <w:rPr>
          <w:rFonts w:ascii="Verdana" w:hAnsi="Verdana"/>
          <w:sz w:val="20"/>
        </w:rPr>
        <w:t xml:space="preserve"> after a period of </w:t>
      </w:r>
      <w:r w:rsidR="0066138B" w:rsidRPr="009C51D8">
        <w:rPr>
          <w:rFonts w:ascii="Verdana" w:hAnsi="Verdana"/>
          <w:sz w:val="20"/>
        </w:rPr>
        <w:t xml:space="preserve">not more than </w:t>
      </w:r>
      <w:r w:rsidRPr="009C51D8">
        <w:rPr>
          <w:rFonts w:ascii="Verdana" w:hAnsi="Verdana"/>
          <w:sz w:val="20"/>
        </w:rPr>
        <w:t xml:space="preserve">three months. You will not receive a bonus payment if you are given the box marking </w:t>
      </w:r>
      <w:r w:rsidR="00E440AD">
        <w:rPr>
          <w:rFonts w:ascii="Verdana" w:hAnsi="Verdana"/>
          <w:sz w:val="20"/>
        </w:rPr>
        <w:t>N</w:t>
      </w:r>
      <w:r w:rsidRPr="009C51D8">
        <w:rPr>
          <w:rFonts w:ascii="Verdana" w:hAnsi="Verdana"/>
          <w:i/>
          <w:sz w:val="20"/>
        </w:rPr>
        <w:t xml:space="preserve">ew to role </w:t>
      </w:r>
      <w:r w:rsidRPr="009C51D8">
        <w:rPr>
          <w:rFonts w:ascii="Verdana" w:hAnsi="Verdana"/>
          <w:sz w:val="20"/>
        </w:rPr>
        <w:t xml:space="preserve">at either Q2 or Q4. </w:t>
      </w:r>
    </w:p>
    <w:p w14:paraId="781930F6" w14:textId="77777777" w:rsidR="007F5452" w:rsidRPr="00B520C4" w:rsidRDefault="007F5452" w:rsidP="009C51D8">
      <w:pPr>
        <w:pStyle w:val="ListParagraph"/>
      </w:pPr>
    </w:p>
    <w:p w14:paraId="781930F7" w14:textId="77777777" w:rsidR="007F5452" w:rsidRPr="00B520C4" w:rsidRDefault="007F5452" w:rsidP="009C51D8">
      <w:pPr>
        <w:pStyle w:val="ListParagraph"/>
      </w:pPr>
      <w:r w:rsidRPr="009C51D8">
        <w:rPr>
          <w:rFonts w:ascii="Verdana" w:hAnsi="Verdana"/>
          <w:sz w:val="20"/>
        </w:rPr>
        <w:t xml:space="preserve">If you are either </w:t>
      </w:r>
      <w:r w:rsidR="00E440AD" w:rsidRPr="009C51D8">
        <w:rPr>
          <w:rFonts w:ascii="Verdana" w:hAnsi="Verdana"/>
          <w:i/>
          <w:sz w:val="20"/>
        </w:rPr>
        <w:t>H</w:t>
      </w:r>
      <w:r w:rsidRPr="009C51D8">
        <w:rPr>
          <w:rFonts w:ascii="Verdana" w:hAnsi="Verdana"/>
          <w:i/>
          <w:sz w:val="20"/>
        </w:rPr>
        <w:t xml:space="preserve">igh </w:t>
      </w:r>
      <w:r w:rsidR="00E440AD" w:rsidRPr="009C51D8">
        <w:rPr>
          <w:rFonts w:ascii="Verdana" w:hAnsi="Verdana"/>
          <w:i/>
          <w:sz w:val="20"/>
        </w:rPr>
        <w:t>P</w:t>
      </w:r>
      <w:r w:rsidRPr="009C51D8">
        <w:rPr>
          <w:rFonts w:ascii="Verdana" w:hAnsi="Verdana"/>
          <w:i/>
          <w:sz w:val="20"/>
        </w:rPr>
        <w:t>erforming</w:t>
      </w:r>
      <w:r w:rsidRPr="009C51D8">
        <w:rPr>
          <w:rFonts w:ascii="Verdana" w:hAnsi="Verdana"/>
          <w:sz w:val="20"/>
        </w:rPr>
        <w:t xml:space="preserve"> or </w:t>
      </w:r>
      <w:r w:rsidR="00E440AD" w:rsidRPr="009C51D8">
        <w:rPr>
          <w:rFonts w:ascii="Verdana" w:hAnsi="Verdana"/>
          <w:i/>
          <w:sz w:val="20"/>
        </w:rPr>
        <w:t>A</w:t>
      </w:r>
      <w:r w:rsidRPr="009C51D8">
        <w:rPr>
          <w:rFonts w:ascii="Verdana" w:hAnsi="Verdana"/>
          <w:i/>
          <w:sz w:val="20"/>
        </w:rPr>
        <w:t>chieving</w:t>
      </w:r>
      <w:r w:rsidRPr="009C51D8">
        <w:rPr>
          <w:rFonts w:ascii="Verdana" w:hAnsi="Verdana"/>
          <w:sz w:val="20"/>
        </w:rPr>
        <w:t xml:space="preserve"> at either Q2 or Q4, the time spent in the higher band will determine how you should be assessed. If you have spent more than three months in the new grade, the box marking will be on the new band and the bonus payment calculated on</w:t>
      </w:r>
      <w:r w:rsidR="0066138B" w:rsidRPr="009C51D8">
        <w:rPr>
          <w:rFonts w:ascii="Verdana" w:hAnsi="Verdana"/>
          <w:sz w:val="20"/>
        </w:rPr>
        <w:t xml:space="preserve"> the higher salary. </w:t>
      </w:r>
    </w:p>
    <w:p w14:paraId="781930F8" w14:textId="77777777" w:rsidR="007F5452" w:rsidRPr="007F5452" w:rsidRDefault="007F5452" w:rsidP="007F5452"/>
    <w:p w14:paraId="781930F9" w14:textId="77777777" w:rsidR="001A4A17" w:rsidRPr="0066138B" w:rsidRDefault="0066138B" w:rsidP="0066138B">
      <w:pPr>
        <w:pStyle w:val="ListParagraph"/>
        <w:numPr>
          <w:ilvl w:val="0"/>
          <w:numId w:val="23"/>
        </w:numPr>
        <w:rPr>
          <w:rFonts w:ascii="Verdana" w:hAnsi="Verdana"/>
          <w:sz w:val="20"/>
        </w:rPr>
      </w:pPr>
      <w:r>
        <w:rPr>
          <w:rFonts w:ascii="Verdana" w:hAnsi="Verdana"/>
          <w:sz w:val="20"/>
          <w:u w:val="single"/>
        </w:rPr>
        <w:t>What happens if I am paid at the maximum point of my pay band?</w:t>
      </w:r>
    </w:p>
    <w:p w14:paraId="781930FA" w14:textId="77777777" w:rsidR="0066138B" w:rsidRDefault="0066138B" w:rsidP="0066138B">
      <w:pPr>
        <w:pStyle w:val="ListParagraph"/>
        <w:rPr>
          <w:rFonts w:ascii="Verdana" w:hAnsi="Verdana"/>
          <w:sz w:val="20"/>
          <w:u w:val="single"/>
        </w:rPr>
      </w:pPr>
    </w:p>
    <w:p w14:paraId="781930FB" w14:textId="77777777" w:rsidR="0066138B" w:rsidRDefault="0066138B" w:rsidP="0066138B">
      <w:pPr>
        <w:pStyle w:val="ListParagraph"/>
        <w:rPr>
          <w:rFonts w:ascii="Verdana" w:hAnsi="Verdana"/>
          <w:sz w:val="20"/>
        </w:rPr>
      </w:pPr>
      <w:r>
        <w:rPr>
          <w:rFonts w:ascii="Verdana" w:hAnsi="Verdana"/>
          <w:sz w:val="20"/>
        </w:rPr>
        <w:t xml:space="preserve">You will be eligible for a bonus if you have a rating of either </w:t>
      </w:r>
      <w:r w:rsidR="00E440AD">
        <w:rPr>
          <w:rFonts w:ascii="Verdana" w:hAnsi="Verdana"/>
          <w:sz w:val="20"/>
        </w:rPr>
        <w:t>H</w:t>
      </w:r>
      <w:r>
        <w:rPr>
          <w:rFonts w:ascii="Verdana" w:hAnsi="Verdana"/>
          <w:sz w:val="20"/>
        </w:rPr>
        <w:t xml:space="preserve">igh </w:t>
      </w:r>
      <w:r w:rsidR="00E440AD">
        <w:rPr>
          <w:rFonts w:ascii="Verdana" w:hAnsi="Verdana"/>
          <w:sz w:val="20"/>
        </w:rPr>
        <w:t>P</w:t>
      </w:r>
      <w:r>
        <w:rPr>
          <w:rFonts w:ascii="Verdana" w:hAnsi="Verdana"/>
          <w:sz w:val="20"/>
        </w:rPr>
        <w:t xml:space="preserve">erforming or </w:t>
      </w:r>
      <w:r w:rsidR="00E440AD" w:rsidRPr="009C51D8">
        <w:rPr>
          <w:rFonts w:ascii="Verdana" w:hAnsi="Verdana"/>
          <w:i/>
          <w:sz w:val="20"/>
        </w:rPr>
        <w:t>A</w:t>
      </w:r>
      <w:r w:rsidRPr="009C51D8">
        <w:rPr>
          <w:rFonts w:ascii="Verdana" w:hAnsi="Verdana"/>
          <w:i/>
          <w:sz w:val="20"/>
        </w:rPr>
        <w:t>chieving</w:t>
      </w:r>
      <w:r>
        <w:rPr>
          <w:rFonts w:ascii="Verdana" w:hAnsi="Verdana"/>
          <w:sz w:val="20"/>
        </w:rPr>
        <w:t>. This is paid to you in line with the provisions outlined above. As already explained above, you will not receive a consolidate</w:t>
      </w:r>
      <w:r w:rsidR="00E440AD">
        <w:rPr>
          <w:rFonts w:ascii="Verdana" w:hAnsi="Verdana"/>
          <w:sz w:val="20"/>
        </w:rPr>
        <w:t>d</w:t>
      </w:r>
      <w:r>
        <w:rPr>
          <w:rFonts w:ascii="Verdana" w:hAnsi="Verdana"/>
          <w:sz w:val="20"/>
        </w:rPr>
        <w:t xml:space="preserve"> pay award. </w:t>
      </w:r>
    </w:p>
    <w:p w14:paraId="781930FC" w14:textId="77777777" w:rsidR="0066138B" w:rsidRDefault="0066138B" w:rsidP="0066138B"/>
    <w:p w14:paraId="781930FD" w14:textId="77777777" w:rsidR="0066138B" w:rsidRPr="00984B3B" w:rsidRDefault="00984B3B" w:rsidP="0066138B">
      <w:pPr>
        <w:pStyle w:val="ListParagraph"/>
        <w:numPr>
          <w:ilvl w:val="0"/>
          <w:numId w:val="23"/>
        </w:numPr>
        <w:rPr>
          <w:rFonts w:ascii="Verdana" w:hAnsi="Verdana"/>
          <w:sz w:val="20"/>
          <w:u w:val="single"/>
        </w:rPr>
      </w:pPr>
      <w:r w:rsidRPr="00984B3B">
        <w:rPr>
          <w:rFonts w:ascii="Verdana" w:hAnsi="Verdana"/>
          <w:sz w:val="20"/>
          <w:u w:val="single"/>
        </w:rPr>
        <w:t xml:space="preserve">Are leavers paid the bonus? </w:t>
      </w:r>
    </w:p>
    <w:p w14:paraId="781930FE" w14:textId="77777777" w:rsidR="0066138B" w:rsidRPr="0066138B" w:rsidRDefault="0066138B" w:rsidP="0066138B"/>
    <w:p w14:paraId="781930FF" w14:textId="77777777" w:rsidR="0066138B" w:rsidRDefault="00984B3B" w:rsidP="0066138B">
      <w:pPr>
        <w:pStyle w:val="ListParagraph"/>
        <w:rPr>
          <w:rFonts w:ascii="Verdana" w:hAnsi="Verdana"/>
          <w:sz w:val="20"/>
        </w:rPr>
      </w:pPr>
      <w:r>
        <w:rPr>
          <w:rFonts w:ascii="Verdana" w:hAnsi="Verdana"/>
          <w:sz w:val="20"/>
        </w:rPr>
        <w:t xml:space="preserve">Leavers are paid a bonus if they leave after Q2 or Q4 in which they received a </w:t>
      </w:r>
      <w:r w:rsidR="00E440AD" w:rsidRPr="009C51D8">
        <w:rPr>
          <w:rFonts w:ascii="Verdana" w:hAnsi="Verdana"/>
          <w:i/>
          <w:sz w:val="20"/>
        </w:rPr>
        <w:t>H</w:t>
      </w:r>
      <w:r w:rsidRPr="009C51D8">
        <w:rPr>
          <w:rFonts w:ascii="Verdana" w:hAnsi="Verdana"/>
          <w:i/>
          <w:sz w:val="20"/>
        </w:rPr>
        <w:t xml:space="preserve">igh </w:t>
      </w:r>
      <w:r w:rsidR="00E440AD" w:rsidRPr="009C51D8">
        <w:rPr>
          <w:rFonts w:ascii="Verdana" w:hAnsi="Verdana"/>
          <w:i/>
          <w:sz w:val="20"/>
        </w:rPr>
        <w:t>P</w:t>
      </w:r>
      <w:r w:rsidRPr="009C51D8">
        <w:rPr>
          <w:rFonts w:ascii="Verdana" w:hAnsi="Verdana"/>
          <w:i/>
          <w:sz w:val="20"/>
        </w:rPr>
        <w:t>erforming</w:t>
      </w:r>
      <w:r>
        <w:rPr>
          <w:rFonts w:ascii="Verdana" w:hAnsi="Verdana"/>
          <w:sz w:val="20"/>
        </w:rPr>
        <w:t xml:space="preserve"> or </w:t>
      </w:r>
      <w:r w:rsidR="00E440AD">
        <w:rPr>
          <w:rFonts w:ascii="Verdana" w:hAnsi="Verdana"/>
          <w:i/>
          <w:sz w:val="20"/>
        </w:rPr>
        <w:t>A</w:t>
      </w:r>
      <w:r w:rsidRPr="009C51D8">
        <w:rPr>
          <w:rFonts w:ascii="Verdana" w:hAnsi="Verdana"/>
          <w:i/>
          <w:sz w:val="20"/>
        </w:rPr>
        <w:t>chieving</w:t>
      </w:r>
      <w:r>
        <w:rPr>
          <w:rFonts w:ascii="Verdana" w:hAnsi="Verdana"/>
          <w:sz w:val="20"/>
        </w:rPr>
        <w:t xml:space="preserve"> rating. </w:t>
      </w:r>
    </w:p>
    <w:p w14:paraId="78193100" w14:textId="77777777" w:rsidR="00984B3B" w:rsidRDefault="00984B3B" w:rsidP="00984B3B"/>
    <w:p w14:paraId="78193101" w14:textId="77777777" w:rsidR="005C780B" w:rsidRDefault="005C780B" w:rsidP="00984B3B"/>
    <w:p w14:paraId="78193102" w14:textId="77777777" w:rsidR="00984B3B" w:rsidRPr="00984B3B" w:rsidRDefault="00984B3B" w:rsidP="00984B3B">
      <w:pPr>
        <w:pStyle w:val="ListParagraph"/>
        <w:numPr>
          <w:ilvl w:val="0"/>
          <w:numId w:val="23"/>
        </w:numPr>
      </w:pPr>
      <w:r>
        <w:rPr>
          <w:rFonts w:ascii="Verdana" w:hAnsi="Verdana"/>
          <w:sz w:val="20"/>
          <w:u w:val="single"/>
        </w:rPr>
        <w:t>What happens if you have been on long-term absence for whatever reason?</w:t>
      </w:r>
    </w:p>
    <w:p w14:paraId="78193103" w14:textId="77777777" w:rsidR="00984B3B" w:rsidRDefault="00984B3B" w:rsidP="00984B3B">
      <w:pPr>
        <w:pStyle w:val="ListParagraph"/>
        <w:rPr>
          <w:rFonts w:ascii="Verdana" w:hAnsi="Verdana"/>
          <w:sz w:val="20"/>
          <w:u w:val="single"/>
        </w:rPr>
      </w:pPr>
    </w:p>
    <w:p w14:paraId="78193104" w14:textId="77777777" w:rsidR="00984B3B" w:rsidRDefault="00984B3B" w:rsidP="00984B3B">
      <w:pPr>
        <w:pStyle w:val="ListParagraph"/>
        <w:rPr>
          <w:rFonts w:ascii="Verdana" w:hAnsi="Verdana"/>
          <w:sz w:val="20"/>
        </w:rPr>
      </w:pPr>
      <w:r>
        <w:rPr>
          <w:rFonts w:ascii="Verdana" w:hAnsi="Verdana"/>
          <w:sz w:val="20"/>
        </w:rPr>
        <w:t>If you have worked for less than three months of the six months of the performance year because of maternity, adoption, parental leave, sickness from a disability covered by the Equality Act, the</w:t>
      </w:r>
      <w:r w:rsidR="00803CD0">
        <w:rPr>
          <w:rFonts w:ascii="Verdana" w:hAnsi="Verdana"/>
          <w:sz w:val="20"/>
        </w:rPr>
        <w:t xml:space="preserve"> default</w:t>
      </w:r>
      <w:r>
        <w:rPr>
          <w:rFonts w:ascii="Verdana" w:hAnsi="Verdana"/>
          <w:sz w:val="20"/>
        </w:rPr>
        <w:t xml:space="preserve"> box marking </w:t>
      </w:r>
      <w:r w:rsidR="00E440AD" w:rsidRPr="009C51D8">
        <w:rPr>
          <w:rFonts w:ascii="Verdana" w:hAnsi="Verdana"/>
          <w:i/>
          <w:sz w:val="20"/>
        </w:rPr>
        <w:t>A</w:t>
      </w:r>
      <w:r w:rsidRPr="009C51D8">
        <w:rPr>
          <w:rFonts w:ascii="Verdana" w:hAnsi="Verdana"/>
          <w:i/>
          <w:sz w:val="20"/>
        </w:rPr>
        <w:t>chieving</w:t>
      </w:r>
      <w:r>
        <w:rPr>
          <w:rFonts w:ascii="Verdana" w:hAnsi="Verdana"/>
          <w:sz w:val="20"/>
        </w:rPr>
        <w:t xml:space="preserve"> will be given. </w:t>
      </w:r>
    </w:p>
    <w:p w14:paraId="78193105" w14:textId="77777777" w:rsidR="00984B3B" w:rsidRDefault="00984B3B" w:rsidP="00984B3B"/>
    <w:p w14:paraId="78193106" w14:textId="77777777" w:rsidR="00984B3B" w:rsidRDefault="00984B3B" w:rsidP="00984B3B"/>
    <w:p w14:paraId="78193107" w14:textId="77777777" w:rsidR="00984B3B" w:rsidRDefault="00984B3B" w:rsidP="00984B3B"/>
    <w:p w14:paraId="78193108" w14:textId="77777777" w:rsidR="00984B3B" w:rsidRPr="00984B3B" w:rsidRDefault="00984B3B" w:rsidP="00984B3B">
      <w:pPr>
        <w:rPr>
          <w:b/>
        </w:rPr>
      </w:pPr>
      <w:r w:rsidRPr="00984B3B">
        <w:rPr>
          <w:b/>
        </w:rPr>
        <w:t xml:space="preserve">October 2019 </w:t>
      </w:r>
    </w:p>
    <w:p w14:paraId="78193109" w14:textId="77777777" w:rsidR="0066138B" w:rsidRPr="00984B3B" w:rsidRDefault="0066138B" w:rsidP="0066138B">
      <w:pPr>
        <w:pStyle w:val="ListParagraph"/>
        <w:rPr>
          <w:rFonts w:ascii="Verdana" w:hAnsi="Verdana"/>
          <w:b/>
          <w:sz w:val="20"/>
        </w:rPr>
      </w:pPr>
    </w:p>
    <w:p w14:paraId="7819310A" w14:textId="77777777" w:rsidR="001A4A17" w:rsidRDefault="001A4A17" w:rsidP="00C41CDD">
      <w:pPr>
        <w:pStyle w:val="ListParagraph"/>
        <w:rPr>
          <w:rFonts w:ascii="Verdana" w:hAnsi="Verdana"/>
          <w:sz w:val="20"/>
        </w:rPr>
      </w:pPr>
    </w:p>
    <w:sectPr w:rsidR="001A4A17" w:rsidSect="001428C1">
      <w:headerReference w:type="even" r:id="rId17"/>
      <w:headerReference w:type="default" r:id="rId18"/>
      <w:footerReference w:type="even" r:id="rId19"/>
      <w:footerReference w:type="default" r:id="rId20"/>
      <w:headerReference w:type="first" r:id="rId21"/>
      <w:footerReference w:type="first" r:id="rId22"/>
      <w:pgSz w:w="11906" w:h="16838" w:code="9"/>
      <w:pgMar w:top="1096" w:right="1304" w:bottom="1134"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9310F" w14:textId="77777777" w:rsidR="00CD6D41" w:rsidRDefault="00CD6D41" w:rsidP="00BA7019">
      <w:r>
        <w:separator/>
      </w:r>
    </w:p>
  </w:endnote>
  <w:endnote w:type="continuationSeparator" w:id="0">
    <w:p w14:paraId="78193110" w14:textId="77777777" w:rsidR="00CD6D41" w:rsidRDefault="00CD6D41" w:rsidP="00BA7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93113" w14:textId="77777777" w:rsidR="000B0C2F" w:rsidRDefault="000B0C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93114" w14:textId="16689083" w:rsidR="002C5046" w:rsidRDefault="002C5046" w:rsidP="00DF0FA5">
    <w:pPr>
      <w:pStyle w:val="Footer"/>
      <w:jc w:val="right"/>
    </w:pPr>
    <w:r>
      <w:rPr>
        <w:rStyle w:val="PageNumber"/>
      </w:rPr>
      <w:fldChar w:fldCharType="begin"/>
    </w:r>
    <w:r>
      <w:rPr>
        <w:rStyle w:val="PageNumber"/>
      </w:rPr>
      <w:instrText xml:space="preserve"> PAGE </w:instrText>
    </w:r>
    <w:r>
      <w:rPr>
        <w:rStyle w:val="PageNumber"/>
      </w:rPr>
      <w:fldChar w:fldCharType="separate"/>
    </w:r>
    <w:r w:rsidR="00B0466E">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0466E">
      <w:rPr>
        <w:rStyle w:val="PageNumber"/>
        <w:noProof/>
      </w:rPr>
      <w:t>8</w:t>
    </w:r>
    <w:r>
      <w:rPr>
        <w:rStyle w:val="PageNumber"/>
      </w:rPr>
      <w:fldChar w:fldCharType="end"/>
    </w:r>
  </w:p>
  <w:p w14:paraId="78193115" w14:textId="77777777" w:rsidR="002C5046" w:rsidRPr="00DE167E" w:rsidRDefault="002C5046" w:rsidP="00DE167E">
    <w:pPr>
      <w:tabs>
        <w:tab w:val="center" w:pos="4513"/>
        <w:tab w:val="right" w:pos="9026"/>
      </w:tabs>
      <w:ind w:left="-806" w:right="-535" w:hanging="52"/>
      <w:jc w:val="center"/>
      <w:rPr>
        <w:rFonts w:cs="Times New Roman"/>
        <w:b/>
        <w:bCs/>
        <w:i/>
        <w:iCs/>
        <w:color w:val="808080"/>
        <w:sz w:val="18"/>
        <w:szCs w:val="18"/>
        <w:lang w:eastAsia="en-US"/>
      </w:rPr>
    </w:pPr>
    <w:r w:rsidRPr="00DE167E">
      <w:rPr>
        <w:rFonts w:cs="Times New Roman"/>
        <w:b/>
        <w:bCs/>
        <w:i/>
        <w:iCs/>
        <w:color w:val="808080"/>
        <w:sz w:val="18"/>
        <w:szCs w:val="18"/>
        <w:lang w:eastAsia="en-US"/>
      </w:rPr>
      <w:t>The Office of Gas and Electricity Markets</w:t>
    </w:r>
  </w:p>
  <w:p w14:paraId="78193116" w14:textId="77777777" w:rsidR="002C5046" w:rsidRPr="00DE167E" w:rsidRDefault="002C5046" w:rsidP="00DE167E">
    <w:pPr>
      <w:tabs>
        <w:tab w:val="center" w:pos="4513"/>
        <w:tab w:val="right" w:pos="9026"/>
      </w:tabs>
      <w:ind w:left="-806" w:right="-535" w:hanging="52"/>
      <w:jc w:val="center"/>
      <w:rPr>
        <w:rFonts w:cs="Times New Roman"/>
        <w:b/>
        <w:bCs/>
        <w:i/>
        <w:iCs/>
        <w:color w:val="808080"/>
        <w:sz w:val="18"/>
        <w:szCs w:val="18"/>
        <w:lang w:eastAsia="en-US"/>
      </w:rPr>
    </w:pPr>
    <w:r w:rsidRPr="00DE167E">
      <w:rPr>
        <w:rFonts w:cs="Times New Roman"/>
        <w:b/>
        <w:bCs/>
        <w:i/>
        <w:iCs/>
        <w:color w:val="808080"/>
        <w:sz w:val="18"/>
        <w:szCs w:val="18"/>
        <w:lang w:eastAsia="en-US"/>
      </w:rPr>
      <w:t>10 South Colonnade, Canary Wharf, London, E14 4PU</w:t>
    </w:r>
  </w:p>
  <w:p w14:paraId="78193117" w14:textId="77777777" w:rsidR="002C5046" w:rsidRPr="00DE167E" w:rsidRDefault="002C5046" w:rsidP="00DE167E">
    <w:pPr>
      <w:tabs>
        <w:tab w:val="center" w:pos="4513"/>
        <w:tab w:val="right" w:pos="9026"/>
      </w:tabs>
      <w:ind w:left="-806" w:right="-535" w:hanging="52"/>
      <w:jc w:val="center"/>
      <w:rPr>
        <w:rFonts w:cs="Times New Roman"/>
        <w:i/>
        <w:iCs/>
        <w:color w:val="808080"/>
        <w:sz w:val="18"/>
        <w:szCs w:val="18"/>
        <w:lang w:eastAsia="en-US"/>
      </w:rPr>
    </w:pPr>
    <w:r w:rsidRPr="00DE167E">
      <w:rPr>
        <w:rFonts w:cs="Times New Roman"/>
        <w:b/>
        <w:bCs/>
        <w:i/>
        <w:iCs/>
        <w:color w:val="808080"/>
        <w:sz w:val="18"/>
        <w:szCs w:val="18"/>
        <w:lang w:eastAsia="en-US"/>
      </w:rPr>
      <w:t>Tel</w:t>
    </w:r>
    <w:r w:rsidRPr="00DE167E">
      <w:rPr>
        <w:rFonts w:cs="Times New Roman"/>
        <w:i/>
        <w:iCs/>
        <w:color w:val="808080"/>
        <w:sz w:val="18"/>
        <w:szCs w:val="18"/>
        <w:lang w:eastAsia="en-US"/>
      </w:rPr>
      <w:t xml:space="preserve"> 020 7901 7000  </w:t>
    </w:r>
    <w:r w:rsidRPr="00DE167E">
      <w:rPr>
        <w:rFonts w:cs="Times New Roman"/>
        <w:b/>
        <w:i/>
        <w:iCs/>
        <w:color w:val="808080"/>
        <w:sz w:val="18"/>
        <w:szCs w:val="18"/>
        <w:lang w:eastAsia="en-US"/>
      </w:rPr>
      <w:t>Fax</w:t>
    </w:r>
    <w:r w:rsidRPr="00DE167E">
      <w:rPr>
        <w:rFonts w:cs="Times New Roman"/>
        <w:i/>
        <w:iCs/>
        <w:color w:val="808080"/>
        <w:sz w:val="18"/>
        <w:szCs w:val="18"/>
        <w:lang w:eastAsia="en-US"/>
      </w:rPr>
      <w:t xml:space="preserve"> 020 7901 7066 </w:t>
    </w:r>
    <w:r w:rsidRPr="00DE167E">
      <w:rPr>
        <w:rFonts w:cs="Times New Roman"/>
        <w:b/>
        <w:bCs/>
        <w:i/>
        <w:iCs/>
        <w:color w:val="808080"/>
        <w:sz w:val="18"/>
        <w:szCs w:val="18"/>
        <w:lang w:eastAsia="en-US"/>
      </w:rPr>
      <w:t>www.ofgem.gov.uk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93119" w14:textId="4D0A8CBD" w:rsidR="002C5046" w:rsidRDefault="002C5046" w:rsidP="00C20801">
    <w:pPr>
      <w:pStyle w:val="Footer"/>
      <w:tabs>
        <w:tab w:val="clear" w:pos="8306"/>
        <w:tab w:val="right" w:pos="8721"/>
      </w:tabs>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9310D" w14:textId="77777777" w:rsidR="00CD6D41" w:rsidRDefault="00CD6D41" w:rsidP="00BA7019">
      <w:r>
        <w:separator/>
      </w:r>
    </w:p>
  </w:footnote>
  <w:footnote w:type="continuationSeparator" w:id="0">
    <w:p w14:paraId="7819310E" w14:textId="77777777" w:rsidR="00CD6D41" w:rsidRDefault="00CD6D41" w:rsidP="00BA7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93111" w14:textId="77777777" w:rsidR="000B0C2F" w:rsidRDefault="000B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93112" w14:textId="77777777" w:rsidR="000B0C2F" w:rsidRDefault="000B0C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93118" w14:textId="77777777" w:rsidR="002C5046" w:rsidRPr="00797C7B" w:rsidRDefault="002C5046" w:rsidP="00641F10">
    <w:pPr>
      <w:pStyle w:val="Header"/>
      <w:ind w:left="-171"/>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E9C3A8A"/>
    <w:lvl w:ilvl="0">
      <w:start w:val="1"/>
      <w:numFmt w:val="decimal"/>
      <w:pStyle w:val="ListNumber5"/>
      <w:lvlText w:val="%1."/>
      <w:lvlJc w:val="left"/>
      <w:pPr>
        <w:tabs>
          <w:tab w:val="num" w:pos="2188"/>
        </w:tabs>
        <w:ind w:left="2188" w:hanging="360"/>
      </w:pPr>
    </w:lvl>
  </w:abstractNum>
  <w:abstractNum w:abstractNumId="1" w15:restartNumberingAfterBreak="0">
    <w:nsid w:val="FFFFFF7D"/>
    <w:multiLevelType w:val="singleLevel"/>
    <w:tmpl w:val="9D1CA05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BC4450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68CA73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C0CE7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FC82B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E0E26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9A9B3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4CBE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32CEA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827B05"/>
    <w:multiLevelType w:val="multilevel"/>
    <w:tmpl w:val="6FD4A74E"/>
    <w:lvl w:ilvl="0">
      <w:start w:val="1"/>
      <w:numFmt w:val="decimal"/>
      <w:lvlText w:val="%1"/>
      <w:lvlJc w:val="left"/>
      <w:pPr>
        <w:tabs>
          <w:tab w:val="num" w:pos="425"/>
        </w:tabs>
        <w:ind w:left="425" w:hanging="425"/>
      </w:pPr>
      <w:rPr>
        <w:rFonts w:ascii="Verdana" w:hAnsi="Verdana"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Appendix %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03C6F21"/>
    <w:multiLevelType w:val="hybridMultilevel"/>
    <w:tmpl w:val="0A08351A"/>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2" w15:restartNumberingAfterBreak="0">
    <w:nsid w:val="1A6840E3"/>
    <w:multiLevelType w:val="hybridMultilevel"/>
    <w:tmpl w:val="75FE03A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3" w15:restartNumberingAfterBreak="0">
    <w:nsid w:val="1C082112"/>
    <w:multiLevelType w:val="multilevel"/>
    <w:tmpl w:val="C7AA579C"/>
    <w:lvl w:ilvl="0">
      <w:start w:val="1"/>
      <w:numFmt w:val="decimal"/>
      <w:pStyle w:val="Heading1"/>
      <w:lvlText w:val="%1."/>
      <w:lvlJc w:val="left"/>
      <w:pPr>
        <w:tabs>
          <w:tab w:val="num" w:pos="360"/>
        </w:tabs>
        <w:ind w:left="360" w:hanging="360"/>
      </w:pPr>
      <w:rPr>
        <w:rFonts w:hint="default"/>
      </w:rPr>
    </w:lvl>
    <w:lvl w:ilvl="1">
      <w:start w:val="1"/>
      <w:numFmt w:val="decimal"/>
      <w:pStyle w:val="Paragraphnumbered"/>
      <w:lvlText w:val="%1.%2."/>
      <w:lvlJc w:val="left"/>
      <w:pPr>
        <w:tabs>
          <w:tab w:val="num" w:pos="720"/>
        </w:tabs>
        <w:ind w:left="432" w:hanging="432"/>
      </w:pPr>
      <w:rPr>
        <w:rFonts w:hint="default"/>
      </w:rPr>
    </w:lvl>
    <w:lvl w:ilvl="2">
      <w:start w:val="1"/>
      <w:numFmt w:val="decimal"/>
      <w:lvlText w:val="%1.%2.%3."/>
      <w:lvlJc w:val="left"/>
      <w:pPr>
        <w:tabs>
          <w:tab w:val="num" w:pos="720"/>
        </w:tabs>
        <w:ind w:left="504" w:hanging="504"/>
      </w:pPr>
      <w:rPr>
        <w:rFonts w:hint="default"/>
        <w:b w:val="0"/>
        <w:i w:val="0"/>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4" w15:restartNumberingAfterBreak="0">
    <w:nsid w:val="1C7616D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DA90FB8"/>
    <w:multiLevelType w:val="multilevel"/>
    <w:tmpl w:val="31B8B5E4"/>
    <w:lvl w:ilvl="0">
      <w:start w:val="1"/>
      <w:numFmt w:val="decimal"/>
      <w:lvlText w:val="%1."/>
      <w:lvlJc w:val="left"/>
      <w:pPr>
        <w:ind w:left="360" w:hanging="360"/>
      </w:pPr>
      <w:rPr>
        <w:b/>
      </w:rPr>
    </w:lvl>
    <w:lvl w:ilvl="1">
      <w:start w:val="1"/>
      <w:numFmt w:val="decimal"/>
      <w:isLgl/>
      <w:lvlText w:val="%1.%2"/>
      <w:lvlJc w:val="left"/>
      <w:pPr>
        <w:ind w:left="720" w:hanging="7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440" w:hanging="144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800" w:hanging="1800"/>
      </w:pPr>
      <w:rPr>
        <w:rFonts w:hint="default"/>
        <w:b w:val="0"/>
      </w:rPr>
    </w:lvl>
    <w:lvl w:ilvl="7">
      <w:start w:val="1"/>
      <w:numFmt w:val="decimal"/>
      <w:isLgl/>
      <w:lvlText w:val="%1.%2.%3.%4.%5.%6.%7.%8"/>
      <w:lvlJc w:val="left"/>
      <w:pPr>
        <w:ind w:left="2160" w:hanging="2160"/>
      </w:pPr>
      <w:rPr>
        <w:rFonts w:hint="default"/>
        <w:b w:val="0"/>
      </w:rPr>
    </w:lvl>
    <w:lvl w:ilvl="8">
      <w:start w:val="1"/>
      <w:numFmt w:val="decimal"/>
      <w:isLgl/>
      <w:lvlText w:val="%1.%2.%3.%4.%5.%6.%7.%8.%9"/>
      <w:lvlJc w:val="left"/>
      <w:pPr>
        <w:ind w:left="2160" w:hanging="2160"/>
      </w:pPr>
      <w:rPr>
        <w:rFonts w:hint="default"/>
        <w:b w:val="0"/>
      </w:rPr>
    </w:lvl>
  </w:abstractNum>
  <w:abstractNum w:abstractNumId="16" w15:restartNumberingAfterBreak="0">
    <w:nsid w:val="1E177F53"/>
    <w:multiLevelType w:val="hybridMultilevel"/>
    <w:tmpl w:val="E2823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5600DC7"/>
    <w:multiLevelType w:val="hybridMultilevel"/>
    <w:tmpl w:val="4962BFE6"/>
    <w:lvl w:ilvl="0" w:tplc="132274F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0A861D0"/>
    <w:multiLevelType w:val="hybridMultilevel"/>
    <w:tmpl w:val="537872C2"/>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9" w15:restartNumberingAfterBreak="0">
    <w:nsid w:val="350B26F0"/>
    <w:multiLevelType w:val="multilevel"/>
    <w:tmpl w:val="DD800CEC"/>
    <w:lvl w:ilvl="0">
      <w:start w:val="1"/>
      <w:numFmt w:val="decimal"/>
      <w:lvlText w:val="%1"/>
      <w:lvlJc w:val="left"/>
      <w:pPr>
        <w:tabs>
          <w:tab w:val="num" w:pos="425"/>
        </w:tabs>
        <w:ind w:left="425" w:hanging="425"/>
      </w:pPr>
      <w:rPr>
        <w:rFonts w:ascii="Verdana" w:hAnsi="Verdana"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Appendix %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BAC763F"/>
    <w:multiLevelType w:val="multilevel"/>
    <w:tmpl w:val="E708DE66"/>
    <w:lvl w:ilvl="0">
      <w:start w:val="4"/>
      <w:numFmt w:val="decimal"/>
      <w:lvlText w:val="%1."/>
      <w:lvlJc w:val="left"/>
      <w:pPr>
        <w:tabs>
          <w:tab w:val="num" w:pos="360"/>
        </w:tabs>
        <w:ind w:left="360" w:hanging="360"/>
      </w:pPr>
      <w:rPr>
        <w:rFonts w:hint="default"/>
      </w:rPr>
    </w:lvl>
    <w:lvl w:ilvl="1">
      <w:start w:val="5"/>
      <w:numFmt w:val="decimal"/>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03A3AD0"/>
    <w:multiLevelType w:val="hybridMultilevel"/>
    <w:tmpl w:val="E7A64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A13F18"/>
    <w:multiLevelType w:val="hybridMultilevel"/>
    <w:tmpl w:val="594892B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15:restartNumberingAfterBreak="0">
    <w:nsid w:val="43EC7C8B"/>
    <w:multiLevelType w:val="hybridMultilevel"/>
    <w:tmpl w:val="DD00CBB8"/>
    <w:lvl w:ilvl="0" w:tplc="D3421DC2">
      <w:start w:val="1"/>
      <w:numFmt w:val="decimal"/>
      <w:lvlText w:val="%1."/>
      <w:lvlJc w:val="left"/>
      <w:pPr>
        <w:ind w:left="720" w:hanging="360"/>
      </w:pPr>
      <w:rPr>
        <w:rFonts w:ascii="Verdana" w:hAnsi="Verdana"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DD781A"/>
    <w:multiLevelType w:val="multilevel"/>
    <w:tmpl w:val="B31E0080"/>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A4E55BF"/>
    <w:multiLevelType w:val="hybridMultilevel"/>
    <w:tmpl w:val="77ACA4A2"/>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6" w15:restartNumberingAfterBreak="0">
    <w:nsid w:val="4B38771A"/>
    <w:multiLevelType w:val="multilevel"/>
    <w:tmpl w:val="D6B2F664"/>
    <w:lvl w:ilvl="0">
      <w:start w:val="1"/>
      <w:numFmt w:val="decimal"/>
      <w:lvlText w:val="%1"/>
      <w:lvlJc w:val="left"/>
      <w:pPr>
        <w:tabs>
          <w:tab w:val="num" w:pos="360"/>
        </w:tabs>
        <w:ind w:left="360" w:hanging="360"/>
      </w:pPr>
      <w:rPr>
        <w:rFonts w:hint="default"/>
        <w:sz w:val="20"/>
        <w:szCs w:val="20"/>
      </w:rPr>
    </w:lvl>
    <w:lvl w:ilvl="1">
      <w:start w:val="1"/>
      <w:numFmt w:val="decimal"/>
      <w:lvlText w:val="%1.%2."/>
      <w:lvlJc w:val="left"/>
      <w:pPr>
        <w:tabs>
          <w:tab w:val="num" w:pos="1141"/>
        </w:tabs>
        <w:ind w:left="1141" w:hanging="432"/>
      </w:pPr>
      <w:rPr>
        <w:b w:val="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E851AC5"/>
    <w:multiLevelType w:val="hybridMultilevel"/>
    <w:tmpl w:val="22F0B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61C3760"/>
    <w:multiLevelType w:val="multilevel"/>
    <w:tmpl w:val="826CE9F0"/>
    <w:lvl w:ilvl="0">
      <w:start w:val="4"/>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562E6C8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A1D5CD7"/>
    <w:multiLevelType w:val="multilevel"/>
    <w:tmpl w:val="C73E3DB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66D713DD"/>
    <w:multiLevelType w:val="hybridMultilevel"/>
    <w:tmpl w:val="4E38367A"/>
    <w:lvl w:ilvl="0" w:tplc="A0043E8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A06AB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D7F708B"/>
    <w:multiLevelType w:val="hybridMultilevel"/>
    <w:tmpl w:val="B6DA6162"/>
    <w:lvl w:ilvl="0" w:tplc="529A6D5A">
      <w:start w:val="1"/>
      <w:numFmt w:val="bullet"/>
      <w:lvlText w:val="•"/>
      <w:lvlJc w:val="left"/>
      <w:pPr>
        <w:tabs>
          <w:tab w:val="num" w:pos="720"/>
        </w:tabs>
        <w:ind w:left="720" w:hanging="360"/>
      </w:pPr>
      <w:rPr>
        <w:rFonts w:ascii="Arial" w:hAnsi="Arial" w:hint="default"/>
      </w:rPr>
    </w:lvl>
    <w:lvl w:ilvl="1" w:tplc="7DC8DBB8">
      <w:start w:val="1"/>
      <w:numFmt w:val="bullet"/>
      <w:lvlText w:val="•"/>
      <w:lvlJc w:val="left"/>
      <w:pPr>
        <w:tabs>
          <w:tab w:val="num" w:pos="1440"/>
        </w:tabs>
        <w:ind w:left="1440" w:hanging="360"/>
      </w:pPr>
      <w:rPr>
        <w:rFonts w:ascii="Arial" w:hAnsi="Arial" w:hint="default"/>
      </w:rPr>
    </w:lvl>
    <w:lvl w:ilvl="2" w:tplc="A7CCDD52" w:tentative="1">
      <w:start w:val="1"/>
      <w:numFmt w:val="bullet"/>
      <w:lvlText w:val="•"/>
      <w:lvlJc w:val="left"/>
      <w:pPr>
        <w:tabs>
          <w:tab w:val="num" w:pos="2160"/>
        </w:tabs>
        <w:ind w:left="2160" w:hanging="360"/>
      </w:pPr>
      <w:rPr>
        <w:rFonts w:ascii="Arial" w:hAnsi="Arial" w:hint="default"/>
      </w:rPr>
    </w:lvl>
    <w:lvl w:ilvl="3" w:tplc="3860482A" w:tentative="1">
      <w:start w:val="1"/>
      <w:numFmt w:val="bullet"/>
      <w:lvlText w:val="•"/>
      <w:lvlJc w:val="left"/>
      <w:pPr>
        <w:tabs>
          <w:tab w:val="num" w:pos="2880"/>
        </w:tabs>
        <w:ind w:left="2880" w:hanging="360"/>
      </w:pPr>
      <w:rPr>
        <w:rFonts w:ascii="Arial" w:hAnsi="Arial" w:hint="default"/>
      </w:rPr>
    </w:lvl>
    <w:lvl w:ilvl="4" w:tplc="E8906584" w:tentative="1">
      <w:start w:val="1"/>
      <w:numFmt w:val="bullet"/>
      <w:lvlText w:val="•"/>
      <w:lvlJc w:val="left"/>
      <w:pPr>
        <w:tabs>
          <w:tab w:val="num" w:pos="3600"/>
        </w:tabs>
        <w:ind w:left="3600" w:hanging="360"/>
      </w:pPr>
      <w:rPr>
        <w:rFonts w:ascii="Arial" w:hAnsi="Arial" w:hint="default"/>
      </w:rPr>
    </w:lvl>
    <w:lvl w:ilvl="5" w:tplc="00DC3684" w:tentative="1">
      <w:start w:val="1"/>
      <w:numFmt w:val="bullet"/>
      <w:lvlText w:val="•"/>
      <w:lvlJc w:val="left"/>
      <w:pPr>
        <w:tabs>
          <w:tab w:val="num" w:pos="4320"/>
        </w:tabs>
        <w:ind w:left="4320" w:hanging="360"/>
      </w:pPr>
      <w:rPr>
        <w:rFonts w:ascii="Arial" w:hAnsi="Arial" w:hint="default"/>
      </w:rPr>
    </w:lvl>
    <w:lvl w:ilvl="6" w:tplc="D77E7F1E" w:tentative="1">
      <w:start w:val="1"/>
      <w:numFmt w:val="bullet"/>
      <w:lvlText w:val="•"/>
      <w:lvlJc w:val="left"/>
      <w:pPr>
        <w:tabs>
          <w:tab w:val="num" w:pos="5040"/>
        </w:tabs>
        <w:ind w:left="5040" w:hanging="360"/>
      </w:pPr>
      <w:rPr>
        <w:rFonts w:ascii="Arial" w:hAnsi="Arial" w:hint="default"/>
      </w:rPr>
    </w:lvl>
    <w:lvl w:ilvl="7" w:tplc="03C03F32" w:tentative="1">
      <w:start w:val="1"/>
      <w:numFmt w:val="bullet"/>
      <w:lvlText w:val="•"/>
      <w:lvlJc w:val="left"/>
      <w:pPr>
        <w:tabs>
          <w:tab w:val="num" w:pos="5760"/>
        </w:tabs>
        <w:ind w:left="5760" w:hanging="360"/>
      </w:pPr>
      <w:rPr>
        <w:rFonts w:ascii="Arial" w:hAnsi="Arial" w:hint="default"/>
      </w:rPr>
    </w:lvl>
    <w:lvl w:ilvl="8" w:tplc="ADA0680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34C0371"/>
    <w:multiLevelType w:val="hybridMultilevel"/>
    <w:tmpl w:val="6C56C106"/>
    <w:lvl w:ilvl="0" w:tplc="B4CA1E58">
      <w:start w:val="5"/>
      <w:numFmt w:val="bullet"/>
      <w:lvlText w:val="-"/>
      <w:lvlJc w:val="left"/>
      <w:pPr>
        <w:ind w:left="720" w:hanging="360"/>
      </w:pPr>
      <w:rPr>
        <w:rFonts w:ascii="Verdana" w:eastAsia="Times New Roman" w:hAnsi="Verdan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3D04D6"/>
    <w:multiLevelType w:val="hybridMultilevel"/>
    <w:tmpl w:val="5C3CD7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514077"/>
    <w:multiLevelType w:val="multilevel"/>
    <w:tmpl w:val="31B8B5E4"/>
    <w:lvl w:ilvl="0">
      <w:start w:val="1"/>
      <w:numFmt w:val="decimal"/>
      <w:lvlText w:val="%1."/>
      <w:lvlJc w:val="left"/>
      <w:pPr>
        <w:ind w:left="360" w:hanging="360"/>
      </w:pPr>
      <w:rPr>
        <w:b/>
      </w:rPr>
    </w:lvl>
    <w:lvl w:ilvl="1">
      <w:start w:val="1"/>
      <w:numFmt w:val="decimal"/>
      <w:isLgl/>
      <w:lvlText w:val="%1.%2"/>
      <w:lvlJc w:val="left"/>
      <w:pPr>
        <w:ind w:left="720" w:hanging="7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440" w:hanging="144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800" w:hanging="1800"/>
      </w:pPr>
      <w:rPr>
        <w:rFonts w:hint="default"/>
        <w:b w:val="0"/>
      </w:rPr>
    </w:lvl>
    <w:lvl w:ilvl="7">
      <w:start w:val="1"/>
      <w:numFmt w:val="decimal"/>
      <w:isLgl/>
      <w:lvlText w:val="%1.%2.%3.%4.%5.%6.%7.%8"/>
      <w:lvlJc w:val="left"/>
      <w:pPr>
        <w:ind w:left="2160" w:hanging="2160"/>
      </w:pPr>
      <w:rPr>
        <w:rFonts w:hint="default"/>
        <w:b w:val="0"/>
      </w:rPr>
    </w:lvl>
    <w:lvl w:ilvl="8">
      <w:start w:val="1"/>
      <w:numFmt w:val="decimal"/>
      <w:isLgl/>
      <w:lvlText w:val="%1.%2.%3.%4.%5.%6.%7.%8.%9"/>
      <w:lvlJc w:val="left"/>
      <w:pPr>
        <w:ind w:left="2160" w:hanging="2160"/>
      </w:pPr>
      <w:rPr>
        <w:rFonts w:hint="default"/>
        <w:b w:val="0"/>
      </w:rPr>
    </w:lvl>
  </w:abstractNum>
  <w:num w:numId="1">
    <w:abstractNumId w:val="13"/>
  </w:num>
  <w:num w:numId="2">
    <w:abstractNumId w:val="3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9"/>
  </w:num>
  <w:num w:numId="15">
    <w:abstractNumId w:val="14"/>
  </w:num>
  <w:num w:numId="16">
    <w:abstractNumId w:val="29"/>
  </w:num>
  <w:num w:numId="17">
    <w:abstractNumId w:val="30"/>
  </w:num>
  <w:num w:numId="18">
    <w:abstractNumId w:val="24"/>
  </w:num>
  <w:num w:numId="19">
    <w:abstractNumId w:val="26"/>
  </w:num>
  <w:num w:numId="20">
    <w:abstractNumId w:val="35"/>
  </w:num>
  <w:num w:numId="21">
    <w:abstractNumId w:val="17"/>
  </w:num>
  <w:num w:numId="22">
    <w:abstractNumId w:val="27"/>
  </w:num>
  <w:num w:numId="23">
    <w:abstractNumId w:val="23"/>
  </w:num>
  <w:num w:numId="24">
    <w:abstractNumId w:val="28"/>
  </w:num>
  <w:num w:numId="25">
    <w:abstractNumId w:val="20"/>
  </w:num>
  <w:num w:numId="26">
    <w:abstractNumId w:val="31"/>
  </w:num>
  <w:num w:numId="27">
    <w:abstractNumId w:val="22"/>
  </w:num>
  <w:num w:numId="28">
    <w:abstractNumId w:val="15"/>
  </w:num>
  <w:num w:numId="29">
    <w:abstractNumId w:val="18"/>
  </w:num>
  <w:num w:numId="30">
    <w:abstractNumId w:val="21"/>
  </w:num>
  <w:num w:numId="31">
    <w:abstractNumId w:val="11"/>
  </w:num>
  <w:num w:numId="32">
    <w:abstractNumId w:val="16"/>
  </w:num>
  <w:num w:numId="33">
    <w:abstractNumId w:val="33"/>
  </w:num>
  <w:num w:numId="34">
    <w:abstractNumId w:val="25"/>
  </w:num>
  <w:num w:numId="35">
    <w:abstractNumId w:val="12"/>
  </w:num>
  <w:num w:numId="36">
    <w:abstractNumId w:val="36"/>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71"/>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629"/>
    <w:rsid w:val="00004774"/>
    <w:rsid w:val="00006283"/>
    <w:rsid w:val="000067A2"/>
    <w:rsid w:val="0001029F"/>
    <w:rsid w:val="00014D86"/>
    <w:rsid w:val="00027E56"/>
    <w:rsid w:val="00031F3C"/>
    <w:rsid w:val="00035612"/>
    <w:rsid w:val="00053380"/>
    <w:rsid w:val="00055D0C"/>
    <w:rsid w:val="00056A13"/>
    <w:rsid w:val="00060CB7"/>
    <w:rsid w:val="000610E8"/>
    <w:rsid w:val="000629DB"/>
    <w:rsid w:val="00064568"/>
    <w:rsid w:val="00064C48"/>
    <w:rsid w:val="00066F00"/>
    <w:rsid w:val="00070C1F"/>
    <w:rsid w:val="00074963"/>
    <w:rsid w:val="00077D34"/>
    <w:rsid w:val="00077E09"/>
    <w:rsid w:val="00086241"/>
    <w:rsid w:val="00086DE9"/>
    <w:rsid w:val="000872B2"/>
    <w:rsid w:val="000920D4"/>
    <w:rsid w:val="000A34E2"/>
    <w:rsid w:val="000A738B"/>
    <w:rsid w:val="000B03EF"/>
    <w:rsid w:val="000B0C2F"/>
    <w:rsid w:val="000B3E7C"/>
    <w:rsid w:val="000C1D43"/>
    <w:rsid w:val="000C5629"/>
    <w:rsid w:val="000C7264"/>
    <w:rsid w:val="000D063F"/>
    <w:rsid w:val="000D18A8"/>
    <w:rsid w:val="000D6944"/>
    <w:rsid w:val="000E19A3"/>
    <w:rsid w:val="000E39F5"/>
    <w:rsid w:val="000E3BC6"/>
    <w:rsid w:val="000F4881"/>
    <w:rsid w:val="000F5761"/>
    <w:rsid w:val="000F780C"/>
    <w:rsid w:val="00101AFB"/>
    <w:rsid w:val="00111CB9"/>
    <w:rsid w:val="00112B62"/>
    <w:rsid w:val="001143E9"/>
    <w:rsid w:val="00124985"/>
    <w:rsid w:val="001274AC"/>
    <w:rsid w:val="00134837"/>
    <w:rsid w:val="00137EFB"/>
    <w:rsid w:val="001428C1"/>
    <w:rsid w:val="00142F03"/>
    <w:rsid w:val="001450EC"/>
    <w:rsid w:val="00152F9E"/>
    <w:rsid w:val="001569F5"/>
    <w:rsid w:val="00162EAA"/>
    <w:rsid w:val="001630E6"/>
    <w:rsid w:val="00164C85"/>
    <w:rsid w:val="00166307"/>
    <w:rsid w:val="00166826"/>
    <w:rsid w:val="00173A05"/>
    <w:rsid w:val="0017502A"/>
    <w:rsid w:val="00176C92"/>
    <w:rsid w:val="001870E5"/>
    <w:rsid w:val="001922B1"/>
    <w:rsid w:val="0019668B"/>
    <w:rsid w:val="001A07CD"/>
    <w:rsid w:val="001A2E5C"/>
    <w:rsid w:val="001A4A17"/>
    <w:rsid w:val="001A4C77"/>
    <w:rsid w:val="001A7604"/>
    <w:rsid w:val="001B0681"/>
    <w:rsid w:val="001B169C"/>
    <w:rsid w:val="001B4201"/>
    <w:rsid w:val="001B6D44"/>
    <w:rsid w:val="001C1E01"/>
    <w:rsid w:val="001C26C8"/>
    <w:rsid w:val="001C4AD1"/>
    <w:rsid w:val="001D5395"/>
    <w:rsid w:val="001E6409"/>
    <w:rsid w:val="001E7913"/>
    <w:rsid w:val="001F314F"/>
    <w:rsid w:val="001F39BD"/>
    <w:rsid w:val="0020009A"/>
    <w:rsid w:val="0020147A"/>
    <w:rsid w:val="002037DF"/>
    <w:rsid w:val="002045A4"/>
    <w:rsid w:val="00205FB2"/>
    <w:rsid w:val="002140B7"/>
    <w:rsid w:val="00215162"/>
    <w:rsid w:val="00215760"/>
    <w:rsid w:val="0022157D"/>
    <w:rsid w:val="0023277C"/>
    <w:rsid w:val="00233E2C"/>
    <w:rsid w:val="00241AC1"/>
    <w:rsid w:val="00246197"/>
    <w:rsid w:val="00247862"/>
    <w:rsid w:val="00250F41"/>
    <w:rsid w:val="002614CE"/>
    <w:rsid w:val="00261F3C"/>
    <w:rsid w:val="00263B27"/>
    <w:rsid w:val="00264498"/>
    <w:rsid w:val="00265241"/>
    <w:rsid w:val="00267D5B"/>
    <w:rsid w:val="00284C72"/>
    <w:rsid w:val="0029178F"/>
    <w:rsid w:val="00292A4C"/>
    <w:rsid w:val="002959ED"/>
    <w:rsid w:val="002A15C4"/>
    <w:rsid w:val="002B212D"/>
    <w:rsid w:val="002B707E"/>
    <w:rsid w:val="002C0889"/>
    <w:rsid w:val="002C5046"/>
    <w:rsid w:val="002C6E11"/>
    <w:rsid w:val="002D11C9"/>
    <w:rsid w:val="002D19FC"/>
    <w:rsid w:val="002D4B68"/>
    <w:rsid w:val="002D642E"/>
    <w:rsid w:val="002D7817"/>
    <w:rsid w:val="002D797B"/>
    <w:rsid w:val="002E18FD"/>
    <w:rsid w:val="002F65D8"/>
    <w:rsid w:val="00303F8A"/>
    <w:rsid w:val="003054A5"/>
    <w:rsid w:val="00310838"/>
    <w:rsid w:val="00312F3D"/>
    <w:rsid w:val="00317289"/>
    <w:rsid w:val="00321221"/>
    <w:rsid w:val="0032285E"/>
    <w:rsid w:val="00324E87"/>
    <w:rsid w:val="00325F6E"/>
    <w:rsid w:val="003304B3"/>
    <w:rsid w:val="00330A8F"/>
    <w:rsid w:val="003429CF"/>
    <w:rsid w:val="003509EA"/>
    <w:rsid w:val="00365235"/>
    <w:rsid w:val="00365D68"/>
    <w:rsid w:val="003744B0"/>
    <w:rsid w:val="00381858"/>
    <w:rsid w:val="003822A8"/>
    <w:rsid w:val="0038337E"/>
    <w:rsid w:val="00385F67"/>
    <w:rsid w:val="0039565B"/>
    <w:rsid w:val="003A28D4"/>
    <w:rsid w:val="003A5CA7"/>
    <w:rsid w:val="003A6E73"/>
    <w:rsid w:val="003A73DC"/>
    <w:rsid w:val="003B2166"/>
    <w:rsid w:val="003B31E7"/>
    <w:rsid w:val="003B3B03"/>
    <w:rsid w:val="003B5CE3"/>
    <w:rsid w:val="003C69E4"/>
    <w:rsid w:val="003C7DDE"/>
    <w:rsid w:val="003D4C13"/>
    <w:rsid w:val="003E56A2"/>
    <w:rsid w:val="003E5AAB"/>
    <w:rsid w:val="003E7A7F"/>
    <w:rsid w:val="003F00B6"/>
    <w:rsid w:val="003F070A"/>
    <w:rsid w:val="003F0E6E"/>
    <w:rsid w:val="003F15B2"/>
    <w:rsid w:val="003F2DCE"/>
    <w:rsid w:val="003F45BD"/>
    <w:rsid w:val="0040420C"/>
    <w:rsid w:val="004045E7"/>
    <w:rsid w:val="004060A0"/>
    <w:rsid w:val="00406393"/>
    <w:rsid w:val="00413A54"/>
    <w:rsid w:val="0042560A"/>
    <w:rsid w:val="00430450"/>
    <w:rsid w:val="00441A44"/>
    <w:rsid w:val="004524CC"/>
    <w:rsid w:val="0046051B"/>
    <w:rsid w:val="004607ED"/>
    <w:rsid w:val="004624D5"/>
    <w:rsid w:val="00470175"/>
    <w:rsid w:val="00471F63"/>
    <w:rsid w:val="004745D1"/>
    <w:rsid w:val="00475075"/>
    <w:rsid w:val="004750FF"/>
    <w:rsid w:val="00476109"/>
    <w:rsid w:val="00483AAF"/>
    <w:rsid w:val="00491457"/>
    <w:rsid w:val="00493239"/>
    <w:rsid w:val="004A1C11"/>
    <w:rsid w:val="004A2AD8"/>
    <w:rsid w:val="004A413F"/>
    <w:rsid w:val="004A61D4"/>
    <w:rsid w:val="004B097F"/>
    <w:rsid w:val="004B3BBC"/>
    <w:rsid w:val="004B6CE9"/>
    <w:rsid w:val="004C329A"/>
    <w:rsid w:val="004D2FAF"/>
    <w:rsid w:val="004E2D27"/>
    <w:rsid w:val="004F39CE"/>
    <w:rsid w:val="00500368"/>
    <w:rsid w:val="0050254F"/>
    <w:rsid w:val="005137B4"/>
    <w:rsid w:val="00514A07"/>
    <w:rsid w:val="005269BC"/>
    <w:rsid w:val="005301C7"/>
    <w:rsid w:val="00530A95"/>
    <w:rsid w:val="00531722"/>
    <w:rsid w:val="0053596B"/>
    <w:rsid w:val="0055445B"/>
    <w:rsid w:val="00560F0F"/>
    <w:rsid w:val="0056526B"/>
    <w:rsid w:val="00565A74"/>
    <w:rsid w:val="0056758C"/>
    <w:rsid w:val="005727F3"/>
    <w:rsid w:val="0057472B"/>
    <w:rsid w:val="005917A0"/>
    <w:rsid w:val="00596450"/>
    <w:rsid w:val="005B157E"/>
    <w:rsid w:val="005B263D"/>
    <w:rsid w:val="005B3E4F"/>
    <w:rsid w:val="005B41DC"/>
    <w:rsid w:val="005B50AD"/>
    <w:rsid w:val="005B6786"/>
    <w:rsid w:val="005B761B"/>
    <w:rsid w:val="005C221E"/>
    <w:rsid w:val="005C2BF9"/>
    <w:rsid w:val="005C3BAD"/>
    <w:rsid w:val="005C3ECF"/>
    <w:rsid w:val="005C780B"/>
    <w:rsid w:val="005C7EE8"/>
    <w:rsid w:val="005D3AB6"/>
    <w:rsid w:val="005E3DE7"/>
    <w:rsid w:val="005E7A9A"/>
    <w:rsid w:val="005E7F14"/>
    <w:rsid w:val="005F207B"/>
    <w:rsid w:val="005F3915"/>
    <w:rsid w:val="0061469A"/>
    <w:rsid w:val="00620DE3"/>
    <w:rsid w:val="006315C5"/>
    <w:rsid w:val="0063479A"/>
    <w:rsid w:val="006363FA"/>
    <w:rsid w:val="006379AE"/>
    <w:rsid w:val="00641F10"/>
    <w:rsid w:val="0064309C"/>
    <w:rsid w:val="00644511"/>
    <w:rsid w:val="006445F8"/>
    <w:rsid w:val="00646B33"/>
    <w:rsid w:val="006506B4"/>
    <w:rsid w:val="00657599"/>
    <w:rsid w:val="00660706"/>
    <w:rsid w:val="0066138B"/>
    <w:rsid w:val="00665DD8"/>
    <w:rsid w:val="00665F58"/>
    <w:rsid w:val="006710F1"/>
    <w:rsid w:val="00671DFE"/>
    <w:rsid w:val="00674B48"/>
    <w:rsid w:val="00683A8E"/>
    <w:rsid w:val="0068433F"/>
    <w:rsid w:val="00691418"/>
    <w:rsid w:val="0069599B"/>
    <w:rsid w:val="00696F20"/>
    <w:rsid w:val="006B0315"/>
    <w:rsid w:val="006B1B33"/>
    <w:rsid w:val="006B2046"/>
    <w:rsid w:val="006C3235"/>
    <w:rsid w:val="006D3F21"/>
    <w:rsid w:val="006D5D5F"/>
    <w:rsid w:val="006E09FA"/>
    <w:rsid w:val="006E11CA"/>
    <w:rsid w:val="006E2E8E"/>
    <w:rsid w:val="006E4C5F"/>
    <w:rsid w:val="006E6C80"/>
    <w:rsid w:val="006F2BA2"/>
    <w:rsid w:val="006F4DB9"/>
    <w:rsid w:val="006F4FD4"/>
    <w:rsid w:val="006F69DF"/>
    <w:rsid w:val="0070746D"/>
    <w:rsid w:val="0071113C"/>
    <w:rsid w:val="007131AE"/>
    <w:rsid w:val="00714927"/>
    <w:rsid w:val="007269C6"/>
    <w:rsid w:val="007357DF"/>
    <w:rsid w:val="00745569"/>
    <w:rsid w:val="00751427"/>
    <w:rsid w:val="00752D05"/>
    <w:rsid w:val="0075387B"/>
    <w:rsid w:val="00761C04"/>
    <w:rsid w:val="00765FC4"/>
    <w:rsid w:val="00766FF7"/>
    <w:rsid w:val="00775FB8"/>
    <w:rsid w:val="007771AF"/>
    <w:rsid w:val="00777B1F"/>
    <w:rsid w:val="00780272"/>
    <w:rsid w:val="00784419"/>
    <w:rsid w:val="00786220"/>
    <w:rsid w:val="00786E79"/>
    <w:rsid w:val="00787646"/>
    <w:rsid w:val="00791108"/>
    <w:rsid w:val="007958EF"/>
    <w:rsid w:val="00797C7B"/>
    <w:rsid w:val="007A2092"/>
    <w:rsid w:val="007A6A21"/>
    <w:rsid w:val="007B033D"/>
    <w:rsid w:val="007B52A4"/>
    <w:rsid w:val="007B56FB"/>
    <w:rsid w:val="007B66A3"/>
    <w:rsid w:val="007C68D9"/>
    <w:rsid w:val="007C7348"/>
    <w:rsid w:val="007D0082"/>
    <w:rsid w:val="007D2E78"/>
    <w:rsid w:val="007D6877"/>
    <w:rsid w:val="007E776B"/>
    <w:rsid w:val="007F124C"/>
    <w:rsid w:val="007F3BEC"/>
    <w:rsid w:val="007F42AA"/>
    <w:rsid w:val="007F4B10"/>
    <w:rsid w:val="007F52CA"/>
    <w:rsid w:val="007F5452"/>
    <w:rsid w:val="0080180F"/>
    <w:rsid w:val="008027F9"/>
    <w:rsid w:val="00803CD0"/>
    <w:rsid w:val="00806494"/>
    <w:rsid w:val="00813064"/>
    <w:rsid w:val="00817D69"/>
    <w:rsid w:val="00817EC5"/>
    <w:rsid w:val="0082192C"/>
    <w:rsid w:val="00823DF1"/>
    <w:rsid w:val="00827BCD"/>
    <w:rsid w:val="0083023E"/>
    <w:rsid w:val="00837A54"/>
    <w:rsid w:val="00840457"/>
    <w:rsid w:val="00840D89"/>
    <w:rsid w:val="0084199D"/>
    <w:rsid w:val="00843516"/>
    <w:rsid w:val="00853169"/>
    <w:rsid w:val="00854C46"/>
    <w:rsid w:val="0085605F"/>
    <w:rsid w:val="008659B8"/>
    <w:rsid w:val="00870943"/>
    <w:rsid w:val="00870B4D"/>
    <w:rsid w:val="008728D1"/>
    <w:rsid w:val="0087378C"/>
    <w:rsid w:val="00874F46"/>
    <w:rsid w:val="00883488"/>
    <w:rsid w:val="0089199C"/>
    <w:rsid w:val="00894B05"/>
    <w:rsid w:val="008964CE"/>
    <w:rsid w:val="00897041"/>
    <w:rsid w:val="00897635"/>
    <w:rsid w:val="008A256F"/>
    <w:rsid w:val="008A5C7A"/>
    <w:rsid w:val="008B0A97"/>
    <w:rsid w:val="008B0C0E"/>
    <w:rsid w:val="008B28F8"/>
    <w:rsid w:val="008B3FA4"/>
    <w:rsid w:val="008B553A"/>
    <w:rsid w:val="008B6BA4"/>
    <w:rsid w:val="008C2983"/>
    <w:rsid w:val="008C793F"/>
    <w:rsid w:val="008C7B8F"/>
    <w:rsid w:val="008D2AC9"/>
    <w:rsid w:val="008E30ED"/>
    <w:rsid w:val="008E3A12"/>
    <w:rsid w:val="008E4891"/>
    <w:rsid w:val="008E58D5"/>
    <w:rsid w:val="008E675A"/>
    <w:rsid w:val="008E7AB6"/>
    <w:rsid w:val="008E7B45"/>
    <w:rsid w:val="008F0BEA"/>
    <w:rsid w:val="008F4528"/>
    <w:rsid w:val="008F46C9"/>
    <w:rsid w:val="008F73E1"/>
    <w:rsid w:val="009025D0"/>
    <w:rsid w:val="009034B5"/>
    <w:rsid w:val="00910D35"/>
    <w:rsid w:val="009112BB"/>
    <w:rsid w:val="00915905"/>
    <w:rsid w:val="009179C4"/>
    <w:rsid w:val="00920602"/>
    <w:rsid w:val="009236DA"/>
    <w:rsid w:val="009338F8"/>
    <w:rsid w:val="00936773"/>
    <w:rsid w:val="00940525"/>
    <w:rsid w:val="009551A1"/>
    <w:rsid w:val="009555E2"/>
    <w:rsid w:val="00961125"/>
    <w:rsid w:val="009623EC"/>
    <w:rsid w:val="00964515"/>
    <w:rsid w:val="009664A6"/>
    <w:rsid w:val="00975723"/>
    <w:rsid w:val="00981990"/>
    <w:rsid w:val="009842C3"/>
    <w:rsid w:val="00984B3B"/>
    <w:rsid w:val="00984DC0"/>
    <w:rsid w:val="00986A90"/>
    <w:rsid w:val="009A0138"/>
    <w:rsid w:val="009A2B84"/>
    <w:rsid w:val="009A3D93"/>
    <w:rsid w:val="009B2D15"/>
    <w:rsid w:val="009B5666"/>
    <w:rsid w:val="009C1F64"/>
    <w:rsid w:val="009C51D8"/>
    <w:rsid w:val="009D2868"/>
    <w:rsid w:val="009E3E58"/>
    <w:rsid w:val="009E419D"/>
    <w:rsid w:val="009E5EF8"/>
    <w:rsid w:val="009E6503"/>
    <w:rsid w:val="009E7640"/>
    <w:rsid w:val="009F0CF3"/>
    <w:rsid w:val="009F5F29"/>
    <w:rsid w:val="00A04EC1"/>
    <w:rsid w:val="00A05D45"/>
    <w:rsid w:val="00A06E52"/>
    <w:rsid w:val="00A06F0A"/>
    <w:rsid w:val="00A11313"/>
    <w:rsid w:val="00A1383F"/>
    <w:rsid w:val="00A22C7A"/>
    <w:rsid w:val="00A22FCD"/>
    <w:rsid w:val="00A27318"/>
    <w:rsid w:val="00A33355"/>
    <w:rsid w:val="00A3481F"/>
    <w:rsid w:val="00A4030B"/>
    <w:rsid w:val="00A4047C"/>
    <w:rsid w:val="00A41750"/>
    <w:rsid w:val="00A569EA"/>
    <w:rsid w:val="00A66AA5"/>
    <w:rsid w:val="00A74748"/>
    <w:rsid w:val="00A84B44"/>
    <w:rsid w:val="00A8576C"/>
    <w:rsid w:val="00A910CA"/>
    <w:rsid w:val="00A9263D"/>
    <w:rsid w:val="00A94680"/>
    <w:rsid w:val="00A9469C"/>
    <w:rsid w:val="00A9681A"/>
    <w:rsid w:val="00A97326"/>
    <w:rsid w:val="00AA04B1"/>
    <w:rsid w:val="00AA0FFB"/>
    <w:rsid w:val="00AA267C"/>
    <w:rsid w:val="00AA41C0"/>
    <w:rsid w:val="00AA7007"/>
    <w:rsid w:val="00AA70DE"/>
    <w:rsid w:val="00AA7940"/>
    <w:rsid w:val="00AB4177"/>
    <w:rsid w:val="00AB4C54"/>
    <w:rsid w:val="00AB5810"/>
    <w:rsid w:val="00AB586E"/>
    <w:rsid w:val="00AB6619"/>
    <w:rsid w:val="00AC3827"/>
    <w:rsid w:val="00AC77F2"/>
    <w:rsid w:val="00AD01C5"/>
    <w:rsid w:val="00AD34B1"/>
    <w:rsid w:val="00AD6F9B"/>
    <w:rsid w:val="00AE2A3C"/>
    <w:rsid w:val="00AE5391"/>
    <w:rsid w:val="00AE63D9"/>
    <w:rsid w:val="00AF12AA"/>
    <w:rsid w:val="00AF3C4E"/>
    <w:rsid w:val="00AF678B"/>
    <w:rsid w:val="00AF75CA"/>
    <w:rsid w:val="00AF7FD6"/>
    <w:rsid w:val="00B0029C"/>
    <w:rsid w:val="00B0466E"/>
    <w:rsid w:val="00B12635"/>
    <w:rsid w:val="00B13079"/>
    <w:rsid w:val="00B17B90"/>
    <w:rsid w:val="00B23012"/>
    <w:rsid w:val="00B24A99"/>
    <w:rsid w:val="00B2577D"/>
    <w:rsid w:val="00B25AD2"/>
    <w:rsid w:val="00B26488"/>
    <w:rsid w:val="00B31517"/>
    <w:rsid w:val="00B32C03"/>
    <w:rsid w:val="00B35FF2"/>
    <w:rsid w:val="00B37A41"/>
    <w:rsid w:val="00B408C0"/>
    <w:rsid w:val="00B442FC"/>
    <w:rsid w:val="00B462BC"/>
    <w:rsid w:val="00B520C4"/>
    <w:rsid w:val="00B563D1"/>
    <w:rsid w:val="00B5711D"/>
    <w:rsid w:val="00B57EE9"/>
    <w:rsid w:val="00B61500"/>
    <w:rsid w:val="00B64F5B"/>
    <w:rsid w:val="00B71719"/>
    <w:rsid w:val="00B726C0"/>
    <w:rsid w:val="00B77724"/>
    <w:rsid w:val="00B828A2"/>
    <w:rsid w:val="00B833CA"/>
    <w:rsid w:val="00B83B0F"/>
    <w:rsid w:val="00B84306"/>
    <w:rsid w:val="00B90905"/>
    <w:rsid w:val="00B92D4E"/>
    <w:rsid w:val="00B95B92"/>
    <w:rsid w:val="00BA5FD4"/>
    <w:rsid w:val="00BA7019"/>
    <w:rsid w:val="00BB1C3A"/>
    <w:rsid w:val="00BB52D4"/>
    <w:rsid w:val="00BC1DF4"/>
    <w:rsid w:val="00BC343D"/>
    <w:rsid w:val="00BC4035"/>
    <w:rsid w:val="00BC5795"/>
    <w:rsid w:val="00BD1162"/>
    <w:rsid w:val="00BD14D2"/>
    <w:rsid w:val="00BD14DF"/>
    <w:rsid w:val="00BE0A33"/>
    <w:rsid w:val="00BE0ECF"/>
    <w:rsid w:val="00BE20EA"/>
    <w:rsid w:val="00BE5539"/>
    <w:rsid w:val="00C014AD"/>
    <w:rsid w:val="00C073B3"/>
    <w:rsid w:val="00C1103C"/>
    <w:rsid w:val="00C12483"/>
    <w:rsid w:val="00C15B1C"/>
    <w:rsid w:val="00C204F5"/>
    <w:rsid w:val="00C20801"/>
    <w:rsid w:val="00C20D6C"/>
    <w:rsid w:val="00C2155D"/>
    <w:rsid w:val="00C21D35"/>
    <w:rsid w:val="00C23AF3"/>
    <w:rsid w:val="00C24584"/>
    <w:rsid w:val="00C247C2"/>
    <w:rsid w:val="00C41CDD"/>
    <w:rsid w:val="00C519CE"/>
    <w:rsid w:val="00C721A8"/>
    <w:rsid w:val="00C77BFA"/>
    <w:rsid w:val="00C94609"/>
    <w:rsid w:val="00C974F5"/>
    <w:rsid w:val="00CA0739"/>
    <w:rsid w:val="00CA2457"/>
    <w:rsid w:val="00CA3534"/>
    <w:rsid w:val="00CB0562"/>
    <w:rsid w:val="00CB1155"/>
    <w:rsid w:val="00CB49B0"/>
    <w:rsid w:val="00CC21D6"/>
    <w:rsid w:val="00CC421F"/>
    <w:rsid w:val="00CD6D41"/>
    <w:rsid w:val="00CE3808"/>
    <w:rsid w:val="00CE3DC7"/>
    <w:rsid w:val="00CE60B2"/>
    <w:rsid w:val="00CF18CD"/>
    <w:rsid w:val="00CF1D01"/>
    <w:rsid w:val="00CF25D3"/>
    <w:rsid w:val="00CF451D"/>
    <w:rsid w:val="00CF4B3F"/>
    <w:rsid w:val="00D027A7"/>
    <w:rsid w:val="00D12FF0"/>
    <w:rsid w:val="00D14868"/>
    <w:rsid w:val="00D2405D"/>
    <w:rsid w:val="00D31308"/>
    <w:rsid w:val="00D34099"/>
    <w:rsid w:val="00D342C3"/>
    <w:rsid w:val="00D34389"/>
    <w:rsid w:val="00D37935"/>
    <w:rsid w:val="00D414FD"/>
    <w:rsid w:val="00D41EE3"/>
    <w:rsid w:val="00D4225D"/>
    <w:rsid w:val="00D50888"/>
    <w:rsid w:val="00D51107"/>
    <w:rsid w:val="00D5281C"/>
    <w:rsid w:val="00D541A0"/>
    <w:rsid w:val="00D56F15"/>
    <w:rsid w:val="00D571B7"/>
    <w:rsid w:val="00D7063E"/>
    <w:rsid w:val="00D70944"/>
    <w:rsid w:val="00D74BF5"/>
    <w:rsid w:val="00D9053F"/>
    <w:rsid w:val="00D964B3"/>
    <w:rsid w:val="00D97B69"/>
    <w:rsid w:val="00DA0325"/>
    <w:rsid w:val="00DA3C80"/>
    <w:rsid w:val="00DA635F"/>
    <w:rsid w:val="00DA6D0B"/>
    <w:rsid w:val="00DC2F00"/>
    <w:rsid w:val="00DC31DD"/>
    <w:rsid w:val="00DC4E6F"/>
    <w:rsid w:val="00DC58E4"/>
    <w:rsid w:val="00DE167E"/>
    <w:rsid w:val="00DE50D2"/>
    <w:rsid w:val="00DF0FA5"/>
    <w:rsid w:val="00DF1682"/>
    <w:rsid w:val="00DF4C36"/>
    <w:rsid w:val="00E14AA5"/>
    <w:rsid w:val="00E212E5"/>
    <w:rsid w:val="00E2260A"/>
    <w:rsid w:val="00E26A65"/>
    <w:rsid w:val="00E27262"/>
    <w:rsid w:val="00E30652"/>
    <w:rsid w:val="00E33159"/>
    <w:rsid w:val="00E35E78"/>
    <w:rsid w:val="00E37EF6"/>
    <w:rsid w:val="00E40A56"/>
    <w:rsid w:val="00E440AD"/>
    <w:rsid w:val="00E47438"/>
    <w:rsid w:val="00E505B3"/>
    <w:rsid w:val="00E53CFD"/>
    <w:rsid w:val="00E5648D"/>
    <w:rsid w:val="00E57A5C"/>
    <w:rsid w:val="00E60283"/>
    <w:rsid w:val="00E623FD"/>
    <w:rsid w:val="00E76543"/>
    <w:rsid w:val="00E84B94"/>
    <w:rsid w:val="00E94AC2"/>
    <w:rsid w:val="00E960F6"/>
    <w:rsid w:val="00E96AE2"/>
    <w:rsid w:val="00E970DE"/>
    <w:rsid w:val="00E9736C"/>
    <w:rsid w:val="00EA0901"/>
    <w:rsid w:val="00EA2955"/>
    <w:rsid w:val="00EA35F0"/>
    <w:rsid w:val="00EA4AE0"/>
    <w:rsid w:val="00EA53A8"/>
    <w:rsid w:val="00EA60AC"/>
    <w:rsid w:val="00EA7BD2"/>
    <w:rsid w:val="00EB3641"/>
    <w:rsid w:val="00EB6121"/>
    <w:rsid w:val="00EB62D5"/>
    <w:rsid w:val="00EC2700"/>
    <w:rsid w:val="00EC485F"/>
    <w:rsid w:val="00ED03DB"/>
    <w:rsid w:val="00ED2731"/>
    <w:rsid w:val="00ED434A"/>
    <w:rsid w:val="00ED5A3F"/>
    <w:rsid w:val="00ED6DA3"/>
    <w:rsid w:val="00EE4CE6"/>
    <w:rsid w:val="00EE4EEE"/>
    <w:rsid w:val="00EE62BE"/>
    <w:rsid w:val="00EF0AE9"/>
    <w:rsid w:val="00EF39AA"/>
    <w:rsid w:val="00EF7F8C"/>
    <w:rsid w:val="00F00060"/>
    <w:rsid w:val="00F134A2"/>
    <w:rsid w:val="00F1440E"/>
    <w:rsid w:val="00F147E3"/>
    <w:rsid w:val="00F157A2"/>
    <w:rsid w:val="00F22227"/>
    <w:rsid w:val="00F26E1C"/>
    <w:rsid w:val="00F27536"/>
    <w:rsid w:val="00F3735F"/>
    <w:rsid w:val="00F40E45"/>
    <w:rsid w:val="00F431E3"/>
    <w:rsid w:val="00F44DE0"/>
    <w:rsid w:val="00F45CC5"/>
    <w:rsid w:val="00F45DBF"/>
    <w:rsid w:val="00F45E16"/>
    <w:rsid w:val="00F46098"/>
    <w:rsid w:val="00F47A2F"/>
    <w:rsid w:val="00F5062B"/>
    <w:rsid w:val="00F55931"/>
    <w:rsid w:val="00F57C73"/>
    <w:rsid w:val="00F6035B"/>
    <w:rsid w:val="00F612E1"/>
    <w:rsid w:val="00F676F0"/>
    <w:rsid w:val="00F80861"/>
    <w:rsid w:val="00F827F9"/>
    <w:rsid w:val="00F845B3"/>
    <w:rsid w:val="00F9162F"/>
    <w:rsid w:val="00F93B79"/>
    <w:rsid w:val="00F9441D"/>
    <w:rsid w:val="00F95227"/>
    <w:rsid w:val="00F9599A"/>
    <w:rsid w:val="00F96494"/>
    <w:rsid w:val="00F96C0B"/>
    <w:rsid w:val="00FA417E"/>
    <w:rsid w:val="00FA6A0F"/>
    <w:rsid w:val="00FB13A8"/>
    <w:rsid w:val="00FB4084"/>
    <w:rsid w:val="00FB6D42"/>
    <w:rsid w:val="00FC07D3"/>
    <w:rsid w:val="00FD11F2"/>
    <w:rsid w:val="00FD3006"/>
    <w:rsid w:val="00FE129B"/>
    <w:rsid w:val="00FF1A01"/>
    <w:rsid w:val="00FF6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78192FC1"/>
  <w15:docId w15:val="{1C98D19E-FBB3-4C5D-BFB7-E2F0ED27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19"/>
    <w:rPr>
      <w:rFonts w:ascii="Verdana" w:hAnsi="Verdana" w:cs="Arial"/>
      <w:szCs w:val="22"/>
    </w:rPr>
  </w:style>
  <w:style w:type="paragraph" w:styleId="Heading1">
    <w:name w:val="heading 1"/>
    <w:basedOn w:val="Normal"/>
    <w:next w:val="Paragraphnumbered"/>
    <w:qFormat/>
    <w:rsid w:val="008A256F"/>
    <w:pPr>
      <w:keepNext/>
      <w:numPr>
        <w:numId w:val="1"/>
      </w:numPr>
      <w:spacing w:before="240" w:after="60"/>
      <w:outlineLvl w:val="0"/>
    </w:pPr>
    <w:rPr>
      <w:b/>
      <w:bCs/>
      <w:kern w:val="32"/>
      <w:sz w:val="24"/>
      <w:szCs w:val="32"/>
    </w:rPr>
  </w:style>
  <w:style w:type="paragraph" w:styleId="Heading2">
    <w:name w:val="heading 2"/>
    <w:basedOn w:val="Normal"/>
    <w:next w:val="Paragraphnumbered"/>
    <w:qFormat/>
    <w:rsid w:val="00A74748"/>
    <w:pPr>
      <w:spacing w:before="240" w:after="240"/>
      <w:outlineLvl w:val="1"/>
    </w:pPr>
    <w:rPr>
      <w:bCs/>
      <w:iCs/>
      <w:sz w:val="22"/>
      <w:szCs w:val="28"/>
    </w:rPr>
  </w:style>
  <w:style w:type="paragraph" w:styleId="Heading3">
    <w:name w:val="heading 3"/>
    <w:basedOn w:val="Normal"/>
    <w:next w:val="Normal"/>
    <w:qFormat/>
    <w:rsid w:val="00A74748"/>
    <w:pPr>
      <w:keepNext/>
      <w:spacing w:before="240" w:after="60"/>
      <w:outlineLvl w:val="2"/>
    </w:pPr>
    <w:rPr>
      <w:bCs/>
      <w:i/>
      <w:szCs w:val="26"/>
    </w:rPr>
  </w:style>
  <w:style w:type="paragraph" w:styleId="Heading4">
    <w:name w:val="heading 4"/>
    <w:basedOn w:val="Normal"/>
    <w:next w:val="Normal"/>
    <w:qFormat/>
    <w:rsid w:val="008A256F"/>
    <w:pPr>
      <w:keepNext/>
      <w:spacing w:before="240" w:after="60"/>
      <w:outlineLvl w:val="3"/>
    </w:pPr>
    <w:rPr>
      <w:rFonts w:cs="Times New Roman"/>
      <w:bCs/>
      <w:szCs w:val="28"/>
    </w:rPr>
  </w:style>
  <w:style w:type="paragraph" w:styleId="Heading5">
    <w:name w:val="heading 5"/>
    <w:basedOn w:val="Normal"/>
    <w:next w:val="Normal"/>
    <w:qFormat/>
    <w:rsid w:val="008A256F"/>
    <w:pPr>
      <w:spacing w:before="240" w:after="60"/>
      <w:outlineLvl w:val="4"/>
    </w:pPr>
    <w:rPr>
      <w:bCs/>
      <w:iCs/>
      <w:szCs w:val="26"/>
    </w:rPr>
  </w:style>
  <w:style w:type="paragraph" w:styleId="Heading6">
    <w:name w:val="heading 6"/>
    <w:basedOn w:val="Normal"/>
    <w:next w:val="Normal"/>
    <w:qFormat/>
    <w:rsid w:val="008A256F"/>
    <w:pPr>
      <w:spacing w:before="240" w:after="60"/>
      <w:outlineLvl w:val="5"/>
    </w:pPr>
    <w:rPr>
      <w:rFonts w:cs="Times New Roman"/>
      <w:bCs/>
    </w:rPr>
  </w:style>
  <w:style w:type="paragraph" w:styleId="Heading7">
    <w:name w:val="heading 7"/>
    <w:basedOn w:val="Normal"/>
    <w:next w:val="Normal"/>
    <w:qFormat/>
    <w:rsid w:val="008A256F"/>
    <w:pPr>
      <w:spacing w:after="60"/>
      <w:outlineLvl w:val="6"/>
    </w:pPr>
    <w:rPr>
      <w:rFonts w:cs="Times New Roman"/>
      <w:b/>
      <w:sz w:val="24"/>
      <w:szCs w:val="24"/>
    </w:rPr>
  </w:style>
  <w:style w:type="paragraph" w:styleId="Heading8">
    <w:name w:val="heading 8"/>
    <w:basedOn w:val="Normal"/>
    <w:next w:val="Normal"/>
    <w:qFormat/>
    <w:rsid w:val="008A256F"/>
    <w:pPr>
      <w:spacing w:before="240" w:after="60"/>
      <w:outlineLvl w:val="7"/>
    </w:pPr>
    <w:rPr>
      <w:rFonts w:cs="Times New Roman"/>
      <w:iCs/>
      <w:szCs w:val="24"/>
    </w:rPr>
  </w:style>
  <w:style w:type="paragraph" w:styleId="Heading9">
    <w:name w:val="heading 9"/>
    <w:basedOn w:val="Normal"/>
    <w:next w:val="Normal"/>
    <w:qFormat/>
    <w:rsid w:val="008A256F"/>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414FD"/>
    <w:pPr>
      <w:tabs>
        <w:tab w:val="center" w:pos="4153"/>
        <w:tab w:val="right" w:pos="8306"/>
      </w:tabs>
    </w:pPr>
  </w:style>
  <w:style w:type="paragraph" w:styleId="Footer">
    <w:name w:val="footer"/>
    <w:basedOn w:val="Normal"/>
    <w:link w:val="FooterChar"/>
    <w:uiPriority w:val="99"/>
    <w:rsid w:val="00D414FD"/>
    <w:pPr>
      <w:tabs>
        <w:tab w:val="center" w:pos="4153"/>
        <w:tab w:val="right" w:pos="8306"/>
      </w:tabs>
    </w:pPr>
  </w:style>
  <w:style w:type="character" w:styleId="PageNumber">
    <w:name w:val="page number"/>
    <w:basedOn w:val="DefaultParagraphFont"/>
    <w:rsid w:val="00D414FD"/>
  </w:style>
  <w:style w:type="paragraph" w:customStyle="1" w:styleId="Title1">
    <w:name w:val="Title1"/>
    <w:basedOn w:val="Normal"/>
    <w:rsid w:val="00303F8A"/>
    <w:rPr>
      <w:b/>
      <w:szCs w:val="20"/>
    </w:rPr>
  </w:style>
  <w:style w:type="table" w:styleId="TableGrid">
    <w:name w:val="Table Grid"/>
    <w:basedOn w:val="TableNormal"/>
    <w:rsid w:val="00F676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E0A33"/>
    <w:rPr>
      <w:color w:val="0000FF"/>
      <w:u w:val="single"/>
    </w:rPr>
  </w:style>
  <w:style w:type="paragraph" w:styleId="TOC2">
    <w:name w:val="toc 2"/>
    <w:basedOn w:val="Normal"/>
    <w:next w:val="Normal"/>
    <w:semiHidden/>
    <w:rsid w:val="00BE0A33"/>
    <w:pPr>
      <w:ind w:left="113"/>
    </w:pPr>
  </w:style>
  <w:style w:type="paragraph" w:styleId="TOC3">
    <w:name w:val="toc 3"/>
    <w:basedOn w:val="Normal"/>
    <w:next w:val="Normal"/>
    <w:semiHidden/>
    <w:rsid w:val="00BE0A33"/>
    <w:pPr>
      <w:ind w:left="227"/>
    </w:pPr>
  </w:style>
  <w:style w:type="paragraph" w:styleId="TOC1">
    <w:name w:val="toc 1"/>
    <w:basedOn w:val="Normal"/>
    <w:next w:val="Normal"/>
    <w:semiHidden/>
    <w:rsid w:val="00BE0A33"/>
    <w:rPr>
      <w:b/>
    </w:rPr>
  </w:style>
  <w:style w:type="paragraph" w:styleId="FootnoteText">
    <w:name w:val="footnote text"/>
    <w:basedOn w:val="Normal"/>
    <w:semiHidden/>
    <w:rsid w:val="00F827F9"/>
    <w:rPr>
      <w:sz w:val="16"/>
      <w:szCs w:val="20"/>
    </w:rPr>
  </w:style>
  <w:style w:type="character" w:styleId="FootnoteReference">
    <w:name w:val="footnote reference"/>
    <w:basedOn w:val="DefaultParagraphFont"/>
    <w:semiHidden/>
    <w:rsid w:val="00F827F9"/>
    <w:rPr>
      <w:vertAlign w:val="superscript"/>
    </w:rPr>
  </w:style>
  <w:style w:type="paragraph" w:customStyle="1" w:styleId="Paragraphnumbered">
    <w:name w:val="Paragraph (numbered)"/>
    <w:basedOn w:val="Heading2"/>
    <w:rsid w:val="0046051B"/>
    <w:pPr>
      <w:numPr>
        <w:ilvl w:val="1"/>
        <w:numId w:val="1"/>
      </w:numPr>
      <w:ind w:left="0" w:firstLine="0"/>
    </w:pPr>
    <w:rPr>
      <w:sz w:val="20"/>
    </w:rPr>
  </w:style>
  <w:style w:type="paragraph" w:customStyle="1" w:styleId="SubHeading">
    <w:name w:val="Sub Heading"/>
    <w:basedOn w:val="Normal"/>
    <w:next w:val="Paragraphnumbered"/>
    <w:rsid w:val="00964515"/>
    <w:pPr>
      <w:spacing w:before="240" w:after="240"/>
    </w:pPr>
    <w:rPr>
      <w:sz w:val="22"/>
    </w:rPr>
  </w:style>
  <w:style w:type="paragraph" w:styleId="BalloonText">
    <w:name w:val="Balloon Text"/>
    <w:basedOn w:val="Normal"/>
    <w:semiHidden/>
    <w:rsid w:val="008B0C0E"/>
    <w:rPr>
      <w:rFonts w:ascii="Tahoma" w:hAnsi="Tahoma" w:cs="Tahoma"/>
      <w:sz w:val="16"/>
      <w:szCs w:val="16"/>
    </w:rPr>
  </w:style>
  <w:style w:type="paragraph" w:styleId="BlockText">
    <w:name w:val="Block Text"/>
    <w:basedOn w:val="Normal"/>
    <w:rsid w:val="00940525"/>
    <w:pPr>
      <w:spacing w:after="120"/>
      <w:ind w:left="1440" w:right="1440"/>
    </w:pPr>
  </w:style>
  <w:style w:type="paragraph" w:styleId="BodyText">
    <w:name w:val="Body Text"/>
    <w:basedOn w:val="Normal"/>
    <w:rsid w:val="00940525"/>
    <w:pPr>
      <w:spacing w:after="120"/>
    </w:pPr>
  </w:style>
  <w:style w:type="paragraph" w:styleId="BodyText2">
    <w:name w:val="Body Text 2"/>
    <w:basedOn w:val="Normal"/>
    <w:rsid w:val="00940525"/>
    <w:pPr>
      <w:spacing w:after="120" w:line="480" w:lineRule="auto"/>
    </w:pPr>
  </w:style>
  <w:style w:type="paragraph" w:styleId="BodyText3">
    <w:name w:val="Body Text 3"/>
    <w:basedOn w:val="Normal"/>
    <w:rsid w:val="00940525"/>
    <w:pPr>
      <w:spacing w:after="120"/>
    </w:pPr>
    <w:rPr>
      <w:sz w:val="16"/>
      <w:szCs w:val="16"/>
    </w:rPr>
  </w:style>
  <w:style w:type="paragraph" w:styleId="BodyTextFirstIndent">
    <w:name w:val="Body Text First Indent"/>
    <w:basedOn w:val="BodyText"/>
    <w:rsid w:val="00940525"/>
    <w:pPr>
      <w:ind w:firstLine="210"/>
    </w:pPr>
  </w:style>
  <w:style w:type="paragraph" w:styleId="BodyTextIndent">
    <w:name w:val="Body Text Indent"/>
    <w:basedOn w:val="Normal"/>
    <w:rsid w:val="00940525"/>
    <w:pPr>
      <w:spacing w:after="120"/>
      <w:ind w:left="283"/>
    </w:pPr>
  </w:style>
  <w:style w:type="paragraph" w:styleId="BodyTextFirstIndent2">
    <w:name w:val="Body Text First Indent 2"/>
    <w:basedOn w:val="BodyTextIndent"/>
    <w:rsid w:val="00940525"/>
    <w:pPr>
      <w:ind w:firstLine="210"/>
    </w:pPr>
  </w:style>
  <w:style w:type="paragraph" w:styleId="BodyTextIndent2">
    <w:name w:val="Body Text Indent 2"/>
    <w:basedOn w:val="Normal"/>
    <w:rsid w:val="00940525"/>
    <w:pPr>
      <w:spacing w:after="120" w:line="480" w:lineRule="auto"/>
      <w:ind w:left="283"/>
    </w:pPr>
  </w:style>
  <w:style w:type="paragraph" w:styleId="BodyTextIndent3">
    <w:name w:val="Body Text Indent 3"/>
    <w:basedOn w:val="Normal"/>
    <w:rsid w:val="00940525"/>
    <w:pPr>
      <w:spacing w:after="120"/>
      <w:ind w:left="283"/>
    </w:pPr>
    <w:rPr>
      <w:sz w:val="16"/>
      <w:szCs w:val="16"/>
    </w:rPr>
  </w:style>
  <w:style w:type="paragraph" w:styleId="Caption">
    <w:name w:val="caption"/>
    <w:basedOn w:val="Normal"/>
    <w:next w:val="Normal"/>
    <w:qFormat/>
    <w:rsid w:val="00940525"/>
    <w:rPr>
      <w:b/>
      <w:bCs/>
      <w:szCs w:val="20"/>
    </w:rPr>
  </w:style>
  <w:style w:type="paragraph" w:styleId="Closing">
    <w:name w:val="Closing"/>
    <w:basedOn w:val="Normal"/>
    <w:rsid w:val="00940525"/>
    <w:pPr>
      <w:ind w:left="4252"/>
    </w:pPr>
  </w:style>
  <w:style w:type="paragraph" w:styleId="CommentText">
    <w:name w:val="annotation text"/>
    <w:basedOn w:val="Normal"/>
    <w:semiHidden/>
    <w:rsid w:val="00940525"/>
    <w:rPr>
      <w:szCs w:val="20"/>
    </w:rPr>
  </w:style>
  <w:style w:type="paragraph" w:styleId="CommentSubject">
    <w:name w:val="annotation subject"/>
    <w:basedOn w:val="CommentText"/>
    <w:next w:val="CommentText"/>
    <w:semiHidden/>
    <w:rsid w:val="00940525"/>
    <w:rPr>
      <w:b/>
      <w:bCs/>
    </w:rPr>
  </w:style>
  <w:style w:type="paragraph" w:styleId="Date">
    <w:name w:val="Date"/>
    <w:basedOn w:val="Normal"/>
    <w:next w:val="Normal"/>
    <w:rsid w:val="00940525"/>
  </w:style>
  <w:style w:type="paragraph" w:styleId="DocumentMap">
    <w:name w:val="Document Map"/>
    <w:basedOn w:val="Normal"/>
    <w:semiHidden/>
    <w:rsid w:val="00940525"/>
    <w:pPr>
      <w:shd w:val="clear" w:color="auto" w:fill="000080"/>
    </w:pPr>
    <w:rPr>
      <w:rFonts w:ascii="Tahoma" w:hAnsi="Tahoma" w:cs="Tahoma"/>
      <w:szCs w:val="20"/>
    </w:rPr>
  </w:style>
  <w:style w:type="paragraph" w:styleId="E-mailSignature">
    <w:name w:val="E-mail Signature"/>
    <w:basedOn w:val="Normal"/>
    <w:rsid w:val="00940525"/>
  </w:style>
  <w:style w:type="paragraph" w:styleId="EndnoteText">
    <w:name w:val="endnote text"/>
    <w:basedOn w:val="Normal"/>
    <w:semiHidden/>
    <w:rsid w:val="00940525"/>
    <w:rPr>
      <w:szCs w:val="20"/>
    </w:rPr>
  </w:style>
  <w:style w:type="paragraph" w:styleId="EnvelopeAddress">
    <w:name w:val="envelope address"/>
    <w:basedOn w:val="Normal"/>
    <w:rsid w:val="00940525"/>
    <w:pPr>
      <w:framePr w:w="7920" w:h="1980" w:hRule="exact" w:hSpace="180" w:wrap="auto" w:hAnchor="page" w:xAlign="center" w:yAlign="bottom"/>
      <w:ind w:left="2880"/>
    </w:pPr>
    <w:rPr>
      <w:rFonts w:ascii="Arial" w:hAnsi="Arial"/>
      <w:sz w:val="24"/>
      <w:szCs w:val="24"/>
    </w:rPr>
  </w:style>
  <w:style w:type="paragraph" w:styleId="EnvelopeReturn">
    <w:name w:val="envelope return"/>
    <w:basedOn w:val="Normal"/>
    <w:rsid w:val="00940525"/>
    <w:rPr>
      <w:rFonts w:ascii="Arial" w:hAnsi="Arial"/>
      <w:szCs w:val="20"/>
    </w:rPr>
  </w:style>
  <w:style w:type="paragraph" w:styleId="HTMLAddress">
    <w:name w:val="HTML Address"/>
    <w:basedOn w:val="Normal"/>
    <w:rsid w:val="00940525"/>
    <w:rPr>
      <w:i/>
      <w:iCs/>
    </w:rPr>
  </w:style>
  <w:style w:type="paragraph" w:styleId="HTMLPreformatted">
    <w:name w:val="HTML Preformatted"/>
    <w:basedOn w:val="Normal"/>
    <w:rsid w:val="00940525"/>
    <w:rPr>
      <w:rFonts w:ascii="Courier New" w:hAnsi="Courier New" w:cs="Courier New"/>
      <w:szCs w:val="20"/>
    </w:rPr>
  </w:style>
  <w:style w:type="paragraph" w:styleId="Index1">
    <w:name w:val="index 1"/>
    <w:basedOn w:val="Normal"/>
    <w:next w:val="Normal"/>
    <w:semiHidden/>
    <w:rsid w:val="00940525"/>
    <w:pPr>
      <w:ind w:left="200" w:hanging="200"/>
    </w:pPr>
  </w:style>
  <w:style w:type="paragraph" w:styleId="Index2">
    <w:name w:val="index 2"/>
    <w:basedOn w:val="Normal"/>
    <w:next w:val="Normal"/>
    <w:semiHidden/>
    <w:rsid w:val="00940525"/>
    <w:pPr>
      <w:ind w:left="400" w:hanging="200"/>
    </w:pPr>
  </w:style>
  <w:style w:type="paragraph" w:styleId="Index3">
    <w:name w:val="index 3"/>
    <w:basedOn w:val="Normal"/>
    <w:next w:val="Normal"/>
    <w:semiHidden/>
    <w:rsid w:val="00940525"/>
    <w:pPr>
      <w:ind w:left="600" w:hanging="200"/>
    </w:pPr>
  </w:style>
  <w:style w:type="paragraph" w:styleId="Index4">
    <w:name w:val="index 4"/>
    <w:basedOn w:val="Normal"/>
    <w:next w:val="Normal"/>
    <w:semiHidden/>
    <w:rsid w:val="00940525"/>
    <w:pPr>
      <w:ind w:left="800" w:hanging="200"/>
    </w:pPr>
  </w:style>
  <w:style w:type="paragraph" w:styleId="Index5">
    <w:name w:val="index 5"/>
    <w:basedOn w:val="Normal"/>
    <w:next w:val="Normal"/>
    <w:semiHidden/>
    <w:rsid w:val="00940525"/>
    <w:pPr>
      <w:ind w:left="1000" w:hanging="200"/>
    </w:pPr>
  </w:style>
  <w:style w:type="paragraph" w:styleId="Index6">
    <w:name w:val="index 6"/>
    <w:basedOn w:val="Normal"/>
    <w:next w:val="Normal"/>
    <w:semiHidden/>
    <w:rsid w:val="00940525"/>
    <w:pPr>
      <w:ind w:left="1200" w:hanging="200"/>
    </w:pPr>
  </w:style>
  <w:style w:type="paragraph" w:styleId="Index7">
    <w:name w:val="index 7"/>
    <w:basedOn w:val="Normal"/>
    <w:next w:val="Normal"/>
    <w:semiHidden/>
    <w:rsid w:val="00940525"/>
    <w:pPr>
      <w:ind w:left="1400" w:hanging="200"/>
    </w:pPr>
  </w:style>
  <w:style w:type="paragraph" w:styleId="Index8">
    <w:name w:val="index 8"/>
    <w:basedOn w:val="Normal"/>
    <w:next w:val="Normal"/>
    <w:semiHidden/>
    <w:rsid w:val="00940525"/>
    <w:pPr>
      <w:ind w:left="1600" w:hanging="200"/>
    </w:pPr>
  </w:style>
  <w:style w:type="paragraph" w:styleId="Index9">
    <w:name w:val="index 9"/>
    <w:basedOn w:val="Normal"/>
    <w:next w:val="Normal"/>
    <w:semiHidden/>
    <w:rsid w:val="00940525"/>
    <w:pPr>
      <w:ind w:left="1800" w:hanging="200"/>
    </w:pPr>
  </w:style>
  <w:style w:type="paragraph" w:styleId="IndexHeading">
    <w:name w:val="index heading"/>
    <w:basedOn w:val="Normal"/>
    <w:next w:val="Index1"/>
    <w:semiHidden/>
    <w:rsid w:val="00940525"/>
    <w:rPr>
      <w:rFonts w:ascii="Arial" w:hAnsi="Arial"/>
      <w:b/>
      <w:bCs/>
    </w:rPr>
  </w:style>
  <w:style w:type="paragraph" w:styleId="List">
    <w:name w:val="List"/>
    <w:basedOn w:val="Normal"/>
    <w:rsid w:val="00940525"/>
    <w:pPr>
      <w:ind w:left="283" w:hanging="283"/>
    </w:pPr>
  </w:style>
  <w:style w:type="paragraph" w:styleId="List2">
    <w:name w:val="List 2"/>
    <w:basedOn w:val="Normal"/>
    <w:rsid w:val="00940525"/>
    <w:pPr>
      <w:ind w:left="566" w:hanging="283"/>
    </w:pPr>
  </w:style>
  <w:style w:type="paragraph" w:styleId="List3">
    <w:name w:val="List 3"/>
    <w:basedOn w:val="Normal"/>
    <w:rsid w:val="00940525"/>
    <w:pPr>
      <w:ind w:left="849" w:hanging="283"/>
    </w:pPr>
  </w:style>
  <w:style w:type="paragraph" w:styleId="List4">
    <w:name w:val="List 4"/>
    <w:basedOn w:val="Normal"/>
    <w:rsid w:val="00940525"/>
    <w:pPr>
      <w:ind w:left="1132" w:hanging="283"/>
    </w:pPr>
  </w:style>
  <w:style w:type="paragraph" w:styleId="List5">
    <w:name w:val="List 5"/>
    <w:basedOn w:val="Normal"/>
    <w:rsid w:val="00940525"/>
    <w:pPr>
      <w:ind w:left="1415" w:hanging="283"/>
    </w:pPr>
  </w:style>
  <w:style w:type="paragraph" w:styleId="ListBullet">
    <w:name w:val="List Bullet"/>
    <w:basedOn w:val="Normal"/>
    <w:rsid w:val="00940525"/>
    <w:pPr>
      <w:numPr>
        <w:numId w:val="3"/>
      </w:numPr>
    </w:pPr>
  </w:style>
  <w:style w:type="paragraph" w:styleId="ListBullet2">
    <w:name w:val="List Bullet 2"/>
    <w:basedOn w:val="Normal"/>
    <w:rsid w:val="00940525"/>
    <w:pPr>
      <w:numPr>
        <w:numId w:val="4"/>
      </w:numPr>
    </w:pPr>
  </w:style>
  <w:style w:type="paragraph" w:styleId="ListBullet3">
    <w:name w:val="List Bullet 3"/>
    <w:basedOn w:val="Normal"/>
    <w:rsid w:val="00940525"/>
    <w:pPr>
      <w:numPr>
        <w:numId w:val="5"/>
      </w:numPr>
    </w:pPr>
  </w:style>
  <w:style w:type="paragraph" w:styleId="ListBullet4">
    <w:name w:val="List Bullet 4"/>
    <w:basedOn w:val="Normal"/>
    <w:rsid w:val="00940525"/>
    <w:pPr>
      <w:numPr>
        <w:numId w:val="6"/>
      </w:numPr>
    </w:pPr>
  </w:style>
  <w:style w:type="paragraph" w:styleId="ListBullet5">
    <w:name w:val="List Bullet 5"/>
    <w:basedOn w:val="Normal"/>
    <w:rsid w:val="00940525"/>
    <w:pPr>
      <w:numPr>
        <w:numId w:val="7"/>
      </w:numPr>
    </w:pPr>
  </w:style>
  <w:style w:type="paragraph" w:styleId="ListContinue">
    <w:name w:val="List Continue"/>
    <w:basedOn w:val="Normal"/>
    <w:rsid w:val="00940525"/>
    <w:pPr>
      <w:spacing w:after="120"/>
      <w:ind w:left="283"/>
    </w:pPr>
  </w:style>
  <w:style w:type="paragraph" w:styleId="ListContinue2">
    <w:name w:val="List Continue 2"/>
    <w:basedOn w:val="Normal"/>
    <w:rsid w:val="00940525"/>
    <w:pPr>
      <w:spacing w:after="120"/>
      <w:ind w:left="566"/>
    </w:pPr>
  </w:style>
  <w:style w:type="paragraph" w:styleId="ListContinue3">
    <w:name w:val="List Continue 3"/>
    <w:basedOn w:val="Normal"/>
    <w:rsid w:val="00940525"/>
    <w:pPr>
      <w:spacing w:after="120"/>
      <w:ind w:left="849"/>
    </w:pPr>
  </w:style>
  <w:style w:type="paragraph" w:styleId="ListContinue4">
    <w:name w:val="List Continue 4"/>
    <w:basedOn w:val="Normal"/>
    <w:rsid w:val="00940525"/>
    <w:pPr>
      <w:spacing w:after="120"/>
      <w:ind w:left="1132"/>
    </w:pPr>
  </w:style>
  <w:style w:type="paragraph" w:styleId="ListContinue5">
    <w:name w:val="List Continue 5"/>
    <w:basedOn w:val="Normal"/>
    <w:rsid w:val="00940525"/>
    <w:pPr>
      <w:spacing w:after="120"/>
      <w:ind w:left="1415"/>
    </w:pPr>
  </w:style>
  <w:style w:type="paragraph" w:styleId="ListNumber">
    <w:name w:val="List Number"/>
    <w:basedOn w:val="Normal"/>
    <w:rsid w:val="00940525"/>
    <w:pPr>
      <w:numPr>
        <w:numId w:val="8"/>
      </w:numPr>
    </w:pPr>
  </w:style>
  <w:style w:type="paragraph" w:styleId="ListNumber2">
    <w:name w:val="List Number 2"/>
    <w:basedOn w:val="Normal"/>
    <w:rsid w:val="00940525"/>
    <w:pPr>
      <w:numPr>
        <w:numId w:val="9"/>
      </w:numPr>
    </w:pPr>
  </w:style>
  <w:style w:type="paragraph" w:styleId="ListNumber3">
    <w:name w:val="List Number 3"/>
    <w:basedOn w:val="Normal"/>
    <w:rsid w:val="00940525"/>
    <w:pPr>
      <w:numPr>
        <w:numId w:val="10"/>
      </w:numPr>
    </w:pPr>
  </w:style>
  <w:style w:type="paragraph" w:styleId="ListNumber4">
    <w:name w:val="List Number 4"/>
    <w:basedOn w:val="Normal"/>
    <w:rsid w:val="00940525"/>
    <w:pPr>
      <w:numPr>
        <w:numId w:val="11"/>
      </w:numPr>
    </w:pPr>
  </w:style>
  <w:style w:type="paragraph" w:styleId="ListNumber5">
    <w:name w:val="List Number 5"/>
    <w:basedOn w:val="Normal"/>
    <w:rsid w:val="00940525"/>
    <w:pPr>
      <w:numPr>
        <w:numId w:val="12"/>
      </w:numPr>
    </w:pPr>
  </w:style>
  <w:style w:type="paragraph" w:styleId="MacroText">
    <w:name w:val="macro"/>
    <w:semiHidden/>
    <w:rsid w:val="0094052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4052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szCs w:val="24"/>
    </w:rPr>
  </w:style>
  <w:style w:type="paragraph" w:styleId="NormalWeb">
    <w:name w:val="Normal (Web)"/>
    <w:basedOn w:val="Normal"/>
    <w:rsid w:val="00940525"/>
    <w:rPr>
      <w:rFonts w:ascii="Times New Roman" w:hAnsi="Times New Roman" w:cs="Times New Roman"/>
      <w:sz w:val="24"/>
      <w:szCs w:val="24"/>
    </w:rPr>
  </w:style>
  <w:style w:type="paragraph" w:styleId="NormalIndent">
    <w:name w:val="Normal Indent"/>
    <w:basedOn w:val="Normal"/>
    <w:rsid w:val="00940525"/>
    <w:pPr>
      <w:ind w:left="720"/>
    </w:pPr>
  </w:style>
  <w:style w:type="paragraph" w:styleId="NoteHeading">
    <w:name w:val="Note Heading"/>
    <w:basedOn w:val="Normal"/>
    <w:next w:val="Normal"/>
    <w:rsid w:val="00940525"/>
  </w:style>
  <w:style w:type="paragraph" w:styleId="PlainText">
    <w:name w:val="Plain Text"/>
    <w:basedOn w:val="Normal"/>
    <w:rsid w:val="00940525"/>
    <w:rPr>
      <w:rFonts w:ascii="Courier New" w:hAnsi="Courier New" w:cs="Courier New"/>
      <w:szCs w:val="20"/>
    </w:rPr>
  </w:style>
  <w:style w:type="paragraph" w:styleId="Salutation">
    <w:name w:val="Salutation"/>
    <w:basedOn w:val="Normal"/>
    <w:next w:val="Normal"/>
    <w:rsid w:val="00940525"/>
  </w:style>
  <w:style w:type="paragraph" w:styleId="Signature">
    <w:name w:val="Signature"/>
    <w:basedOn w:val="Normal"/>
    <w:rsid w:val="00940525"/>
    <w:pPr>
      <w:ind w:left="4252"/>
    </w:pPr>
  </w:style>
  <w:style w:type="paragraph" w:styleId="Subtitle">
    <w:name w:val="Subtitle"/>
    <w:basedOn w:val="Normal"/>
    <w:qFormat/>
    <w:rsid w:val="00940525"/>
    <w:pPr>
      <w:spacing w:after="60"/>
      <w:jc w:val="center"/>
      <w:outlineLvl w:val="1"/>
    </w:pPr>
    <w:rPr>
      <w:rFonts w:ascii="Arial" w:hAnsi="Arial"/>
      <w:sz w:val="24"/>
      <w:szCs w:val="24"/>
    </w:rPr>
  </w:style>
  <w:style w:type="paragraph" w:styleId="TableofAuthorities">
    <w:name w:val="table of authorities"/>
    <w:basedOn w:val="Normal"/>
    <w:next w:val="Normal"/>
    <w:semiHidden/>
    <w:rsid w:val="00940525"/>
    <w:pPr>
      <w:ind w:left="200" w:hanging="200"/>
    </w:pPr>
  </w:style>
  <w:style w:type="paragraph" w:styleId="TableofFigures">
    <w:name w:val="table of figures"/>
    <w:basedOn w:val="Normal"/>
    <w:next w:val="Normal"/>
    <w:semiHidden/>
    <w:rsid w:val="00940525"/>
  </w:style>
  <w:style w:type="paragraph" w:styleId="Title">
    <w:name w:val="Title"/>
    <w:basedOn w:val="Normal"/>
    <w:qFormat/>
    <w:rsid w:val="00940525"/>
    <w:pPr>
      <w:spacing w:before="240" w:after="60"/>
      <w:jc w:val="center"/>
      <w:outlineLvl w:val="0"/>
    </w:pPr>
    <w:rPr>
      <w:rFonts w:ascii="Arial" w:hAnsi="Arial"/>
      <w:b/>
      <w:bCs/>
      <w:kern w:val="28"/>
      <w:sz w:val="32"/>
      <w:szCs w:val="32"/>
    </w:rPr>
  </w:style>
  <w:style w:type="paragraph" w:styleId="TOAHeading">
    <w:name w:val="toa heading"/>
    <w:basedOn w:val="Normal"/>
    <w:next w:val="Normal"/>
    <w:semiHidden/>
    <w:rsid w:val="00940525"/>
    <w:pPr>
      <w:spacing w:before="120"/>
    </w:pPr>
    <w:rPr>
      <w:rFonts w:ascii="Arial" w:hAnsi="Arial"/>
      <w:b/>
      <w:bCs/>
      <w:sz w:val="24"/>
      <w:szCs w:val="24"/>
    </w:rPr>
  </w:style>
  <w:style w:type="paragraph" w:styleId="TOC4">
    <w:name w:val="toc 4"/>
    <w:basedOn w:val="Normal"/>
    <w:next w:val="Normal"/>
    <w:semiHidden/>
    <w:rsid w:val="00940525"/>
    <w:pPr>
      <w:ind w:left="600"/>
    </w:pPr>
  </w:style>
  <w:style w:type="paragraph" w:styleId="TOC5">
    <w:name w:val="toc 5"/>
    <w:basedOn w:val="Normal"/>
    <w:next w:val="Normal"/>
    <w:semiHidden/>
    <w:rsid w:val="00940525"/>
    <w:pPr>
      <w:ind w:left="800"/>
    </w:pPr>
  </w:style>
  <w:style w:type="paragraph" w:styleId="TOC6">
    <w:name w:val="toc 6"/>
    <w:basedOn w:val="Normal"/>
    <w:next w:val="Normal"/>
    <w:semiHidden/>
    <w:rsid w:val="00940525"/>
    <w:pPr>
      <w:ind w:left="1000"/>
    </w:pPr>
  </w:style>
  <w:style w:type="paragraph" w:styleId="TOC7">
    <w:name w:val="toc 7"/>
    <w:basedOn w:val="Normal"/>
    <w:next w:val="Normal"/>
    <w:semiHidden/>
    <w:rsid w:val="00940525"/>
    <w:pPr>
      <w:ind w:left="1200"/>
    </w:pPr>
  </w:style>
  <w:style w:type="paragraph" w:styleId="TOC8">
    <w:name w:val="toc 8"/>
    <w:basedOn w:val="Normal"/>
    <w:next w:val="Normal"/>
    <w:semiHidden/>
    <w:rsid w:val="00940525"/>
    <w:pPr>
      <w:ind w:left="1400"/>
    </w:pPr>
  </w:style>
  <w:style w:type="paragraph" w:styleId="TOC9">
    <w:name w:val="toc 9"/>
    <w:basedOn w:val="Normal"/>
    <w:next w:val="Normal"/>
    <w:semiHidden/>
    <w:rsid w:val="00940525"/>
    <w:pPr>
      <w:ind w:left="1600"/>
    </w:pPr>
  </w:style>
  <w:style w:type="character" w:customStyle="1" w:styleId="FooterChar">
    <w:name w:val="Footer Char"/>
    <w:basedOn w:val="DefaultParagraphFont"/>
    <w:link w:val="Footer"/>
    <w:uiPriority w:val="99"/>
    <w:rsid w:val="00C20801"/>
    <w:rPr>
      <w:rFonts w:ascii="Verdana" w:hAnsi="Verdana" w:cs="Arial"/>
      <w:szCs w:val="22"/>
    </w:rPr>
  </w:style>
  <w:style w:type="paragraph" w:styleId="ListParagraph">
    <w:name w:val="List Paragraph"/>
    <w:basedOn w:val="Normal"/>
    <w:uiPriority w:val="34"/>
    <w:qFormat/>
    <w:rsid w:val="00787646"/>
    <w:pPr>
      <w:widowControl w:val="0"/>
      <w:adjustRightInd w:val="0"/>
      <w:spacing w:line="360" w:lineRule="atLeast"/>
      <w:ind w:left="720"/>
      <w:jc w:val="both"/>
      <w:textAlignment w:val="baseline"/>
    </w:pPr>
    <w:rPr>
      <w:rFonts w:ascii="Arial" w:hAnsi="Arial" w:cs="Times New Roman"/>
      <w:sz w:val="24"/>
      <w:szCs w:val="20"/>
    </w:rPr>
  </w:style>
  <w:style w:type="character" w:styleId="CommentReference">
    <w:name w:val="annotation reference"/>
    <w:basedOn w:val="DefaultParagraphFont"/>
    <w:semiHidden/>
    <w:unhideWhenUsed/>
    <w:rsid w:val="006F2BA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59477">
      <w:bodyDiv w:val="1"/>
      <w:marLeft w:val="0"/>
      <w:marRight w:val="0"/>
      <w:marTop w:val="0"/>
      <w:marBottom w:val="0"/>
      <w:divBdr>
        <w:top w:val="none" w:sz="0" w:space="0" w:color="auto"/>
        <w:left w:val="none" w:sz="0" w:space="0" w:color="auto"/>
        <w:bottom w:val="none" w:sz="0" w:space="0" w:color="auto"/>
        <w:right w:val="none" w:sz="0" w:space="0" w:color="auto"/>
      </w:divBdr>
    </w:div>
    <w:div w:id="940455917">
      <w:bodyDiv w:val="1"/>
      <w:marLeft w:val="0"/>
      <w:marRight w:val="0"/>
      <w:marTop w:val="0"/>
      <w:marBottom w:val="0"/>
      <w:divBdr>
        <w:top w:val="none" w:sz="0" w:space="0" w:color="auto"/>
        <w:left w:val="none" w:sz="0" w:space="0" w:color="auto"/>
        <w:bottom w:val="none" w:sz="0" w:space="0" w:color="auto"/>
        <w:right w:val="none" w:sz="0" w:space="0" w:color="auto"/>
      </w:divBdr>
      <w:divsChild>
        <w:div w:id="634288969">
          <w:marLeft w:val="1080"/>
          <w:marRight w:val="0"/>
          <w:marTop w:val="100"/>
          <w:marBottom w:val="0"/>
          <w:divBdr>
            <w:top w:val="none" w:sz="0" w:space="0" w:color="auto"/>
            <w:left w:val="none" w:sz="0" w:space="0" w:color="auto"/>
            <w:bottom w:val="none" w:sz="0" w:space="0" w:color="auto"/>
            <w:right w:val="none" w:sz="0" w:space="0" w:color="auto"/>
          </w:divBdr>
        </w:div>
        <w:div w:id="397899911">
          <w:marLeft w:val="1080"/>
          <w:marRight w:val="0"/>
          <w:marTop w:val="100"/>
          <w:marBottom w:val="0"/>
          <w:divBdr>
            <w:top w:val="none" w:sz="0" w:space="0" w:color="auto"/>
            <w:left w:val="none" w:sz="0" w:space="0" w:color="auto"/>
            <w:bottom w:val="none" w:sz="0" w:space="0" w:color="auto"/>
            <w:right w:val="none" w:sz="0" w:space="0" w:color="auto"/>
          </w:divBdr>
        </w:div>
        <w:div w:id="1486900283">
          <w:marLeft w:val="1080"/>
          <w:marRight w:val="0"/>
          <w:marTop w:val="100"/>
          <w:marBottom w:val="0"/>
          <w:divBdr>
            <w:top w:val="none" w:sz="0" w:space="0" w:color="auto"/>
            <w:left w:val="none" w:sz="0" w:space="0" w:color="auto"/>
            <w:bottom w:val="none" w:sz="0" w:space="0" w:color="auto"/>
            <w:right w:val="none" w:sz="0" w:space="0" w:color="auto"/>
          </w:divBdr>
        </w:div>
        <w:div w:id="1602880373">
          <w:marLeft w:val="1080"/>
          <w:marRight w:val="0"/>
          <w:marTop w:val="100"/>
          <w:marBottom w:val="0"/>
          <w:divBdr>
            <w:top w:val="none" w:sz="0" w:space="0" w:color="auto"/>
            <w:left w:val="none" w:sz="0" w:space="0" w:color="auto"/>
            <w:bottom w:val="none" w:sz="0" w:space="0" w:color="auto"/>
            <w:right w:val="none" w:sz="0" w:space="0" w:color="auto"/>
          </w:divBdr>
        </w:div>
      </w:divsChild>
    </w:div>
    <w:div w:id="109494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eliveryHR@ofgem.gov.uk"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EserveHR@ofgem.gov.u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CandMHR@ofgem.gov.uk"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andNHR@ofgem.gov.uk"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fgem%20Templates\LetterWithHeading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TaxCatchAll xmlns="2420aff2-1176-42a4-833e-5699f323e44b"/>
    <OIShowDocumentOnHomepage xmlns="5c55beb9-a3a9-456e-a1ae-309f41616f31">false</OIShowDocumentOnHomepage>
    <OIAssociatedTeamTaxHTField0 xmlns="5c55beb9-a3a9-456e-a1ae-309f41616f31">
      <Terms xmlns="http://schemas.microsoft.com/office/infopath/2007/PartnerControls"/>
    </OIAssociatedTeamTaxHTField0>
    <OIReviewEmailDate xmlns="5c55beb9-a3a9-456e-a1ae-309f41616f31" xsi:nil="true"/>
    <OIArticleExpiration xmlns="5c55beb9-a3a9-456e-a1ae-309f41616f3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Ofgem Document" ma:contentTypeID="0x01010053EC412C735C4BBC9D562EC234771A3300317CB17E5C6649F8BD32DF88366579CA00CF96CED86AF58041A49607D47A59CD30" ma:contentTypeVersion="9" ma:contentTypeDescription="" ma:contentTypeScope="" ma:versionID="9a207056bdfce668dc867de39d272fb9">
  <xsd:schema xmlns:xsd="http://www.w3.org/2001/XMLSchema" xmlns:xs="http://www.w3.org/2001/XMLSchema" xmlns:p="http://schemas.microsoft.com/office/2006/metadata/properties" xmlns:ns2="5c55beb9-a3a9-456e-a1ae-309f41616f31" xmlns:ns3="2420aff2-1176-42a4-833e-5699f323e44b" targetNamespace="http://schemas.microsoft.com/office/2006/metadata/properties" ma:root="true" ma:fieldsID="9a8fe4ff1221415944370a7c9d7c2037" ns2:_="" ns3:_="">
    <xsd:import namespace="5c55beb9-a3a9-456e-a1ae-309f41616f31"/>
    <xsd:import namespace="2420aff2-1176-42a4-833e-5699f323e44b"/>
    <xsd:element name="properties">
      <xsd:complexType>
        <xsd:sequence>
          <xsd:element name="documentManagement">
            <xsd:complexType>
              <xsd:all>
                <xsd:element ref="ns2:OIShowDocumentOnHomepage" minOccurs="0"/>
                <xsd:element ref="ns2:OIReviewEmailDate" minOccurs="0"/>
                <xsd:element ref="ns2:OIArticleExpiration" minOccurs="0"/>
                <xsd:element ref="ns3:TaxCatchAll" minOccurs="0"/>
                <xsd:element ref="ns2:OIAssociatedTeam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5beb9-a3a9-456e-a1ae-309f41616f31" elementFormDefault="qualified">
    <xsd:import namespace="http://schemas.microsoft.com/office/2006/documentManagement/types"/>
    <xsd:import namespace="http://schemas.microsoft.com/office/infopath/2007/PartnerControls"/>
    <xsd:element name="OIShowDocumentOnHomepage" ma:index="9" nillable="true" ma:displayName="Show Document On Homepage" ma:internalName="OIShowDocumentOnHomepage">
      <xsd:simpleType>
        <xsd:restriction base="dms:Boolean"/>
      </xsd:simpleType>
    </xsd:element>
    <xsd:element name="OIReviewEmailDate" ma:index="10" nillable="true" ma:displayName="Review Email Date" ma:hidden="true" ma:internalName="OIReviewEmailDate" ma:readOnly="false">
      <xsd:simpleType>
        <xsd:restriction base="dms:DateTime"/>
      </xsd:simpleType>
    </xsd:element>
    <xsd:element name="OIArticleExpiration" ma:index="11" nillable="true" ma:displayName="Article Expiration Date" ma:hidden="true" ma:internalName="OIArticleExpiration" ma:readOnly="false">
      <xsd:simpleType>
        <xsd:restriction base="dms:DateTime"/>
      </xsd:simpleType>
    </xsd:element>
    <xsd:element name="OIAssociatedTeamTaxHTField0" ma:index="13" nillable="true" ma:taxonomy="true" ma:internalName="OIAssociatedTeamTaxHTField0" ma:taxonomyFieldName="OIAssociatedTeam" ma:displayName="Associated Team" ma:default="" ma:fieldId="{565d4f20-81e2-4339-ad87-c733080d800c}" ma:taxonomyMulti="true" ma:sspId="ca9306fc-8436-45f0-b931-e34f519be3a3" ma:termSetId="6c6c61cd-7568-4e1e-a808-70f036abbf5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420aff2-1176-42a4-833e-5699f323e44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de36e85-699d-40e3-a92a-d414defaaf97}" ma:internalName="TaxCatchAll" ma:showField="CatchAllData" ma:web="2420aff2-1176-42a4-833e-5699f323e4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isl xmlns:xsi="http://www.w3.org/2001/XMLSchema-instance" xmlns:xsd="http://www.w3.org/2001/XMLSchema" xmlns="http://www.boldonjames.com/2008/01/sie/internal/label" sislVersion="0" policy="973096ae-7329-4b3b-9368-47aeba6959e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81B89-1FA7-43B4-BDE0-82AB41A2C076}">
  <ds:schemaRefs>
    <ds:schemaRef ds:uri="http://schemas.microsoft.com/sharepoint/v3/contenttype/forms"/>
  </ds:schemaRefs>
</ds:datastoreItem>
</file>

<file path=customXml/itemProps2.xml><?xml version="1.0" encoding="utf-8"?>
<ds:datastoreItem xmlns:ds="http://schemas.openxmlformats.org/officeDocument/2006/customXml" ds:itemID="{D818401C-38EB-48EB-AA06-75D6BBDDD270}">
  <ds:schemaRefs>
    <ds:schemaRef ds:uri="http://purl.org/dc/terms/"/>
    <ds:schemaRef ds:uri="http://www.w3.org/XML/1998/namespace"/>
    <ds:schemaRef ds:uri="http://schemas.microsoft.com/office/2006/documentManagement/types"/>
    <ds:schemaRef ds:uri="http://schemas.microsoft.com/office/infopath/2007/PartnerControls"/>
    <ds:schemaRef ds:uri="http://purl.org/dc/elements/1.1/"/>
    <ds:schemaRef ds:uri="5c55beb9-a3a9-456e-a1ae-309f41616f31"/>
    <ds:schemaRef ds:uri="http://schemas.microsoft.com/office/2006/metadata/properties"/>
    <ds:schemaRef ds:uri="http://schemas.openxmlformats.org/package/2006/metadata/core-properties"/>
    <ds:schemaRef ds:uri="2420aff2-1176-42a4-833e-5699f323e44b"/>
    <ds:schemaRef ds:uri="http://purl.org/dc/dcmitype/"/>
  </ds:schemaRefs>
</ds:datastoreItem>
</file>

<file path=customXml/itemProps3.xml><?xml version="1.0" encoding="utf-8"?>
<ds:datastoreItem xmlns:ds="http://schemas.openxmlformats.org/officeDocument/2006/customXml" ds:itemID="{4A137E83-EED6-425F-8A78-1739866A20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5beb9-a3a9-456e-a1ae-309f41616f31"/>
    <ds:schemaRef ds:uri="2420aff2-1176-42a4-833e-5699f323e4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AAE03C-BC65-4C9C-A127-724B102B5EF6}">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46BB245B-1040-4F69-8050-0C86EF027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LetterWithHeading2013.dotm</Template>
  <TotalTime>0</TotalTime>
  <Pages>2</Pages>
  <Words>2305</Words>
  <Characters>10823</Characters>
  <Application>Microsoft Office Word</Application>
  <DocSecurity>0</DocSecurity>
  <Lines>419</Lines>
  <Paragraphs>184</Paragraphs>
  <ScaleCrop>false</ScaleCrop>
  <HeadingPairs>
    <vt:vector size="2" baseType="variant">
      <vt:variant>
        <vt:lpstr>Title</vt:lpstr>
      </vt:variant>
      <vt:variant>
        <vt:i4>1</vt:i4>
      </vt:variant>
    </vt:vector>
  </HeadingPairs>
  <TitlesOfParts>
    <vt:vector size="1" baseType="lpstr">
      <vt:lpstr>HR Notice - Pay Award 2017 (Bands A to E)</vt:lpstr>
    </vt:vector>
  </TitlesOfParts>
  <Company>Ofgem</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Notice - Pay Award 2017 (Bands A to E)</dc:title>
  <dc:creator>youngj</dc:creator>
  <cp:lastModifiedBy>Rory McCabe</cp:lastModifiedBy>
  <cp:revision>3</cp:revision>
  <cp:lastPrinted>2018-12-18T10:33:00Z</cp:lastPrinted>
  <dcterms:created xsi:type="dcterms:W3CDTF">2019-10-30T14:50:00Z</dcterms:created>
  <dcterms:modified xsi:type="dcterms:W3CDTF">2020-04-15T14:00:00Z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0x01010053EC412C735C4BBC9D562EC234771A3300317CB17E5C6649F8BD32DF88366579CA00CF96CED86AF58041A49607D47A59CD30</vt:lpwstr>
  </property>
  <property fmtid="{D5CDD505-2E9C-101B-9397-08002B2CF9AE}" pid="3" name="Select Content Type Above">
    <vt:lpwstr/>
  </property>
  <property fmtid="{D5CDD505-2E9C-101B-9397-08002B2CF9AE}" pid="4" name="Order">
    <vt:r8>3889600</vt:r8>
  </property>
  <property fmtid="{D5CDD505-2E9C-101B-9397-08002B2CF9AE}" pid="5" name="From">
    <vt:lpwstr/>
  </property>
  <property fmtid="{D5CDD505-2E9C-101B-9397-08002B2CF9AE}" pid="6" name="Project Sponsor">
    <vt:lpwstr/>
  </property>
  <property fmtid="{D5CDD505-2E9C-101B-9397-08002B2CF9AE}" pid="7" name="Organisation">
    <vt:lpwstr>Choose an Organisation</vt:lpwstr>
  </property>
  <property fmtid="{D5CDD505-2E9C-101B-9397-08002B2CF9AE}" pid="8" name="BCC">
    <vt:lpwstr/>
  </property>
  <property fmtid="{D5CDD505-2E9C-101B-9397-08002B2CF9AE}" pid="9" name="xd_ProgID">
    <vt:lpwstr/>
  </property>
  <property fmtid="{D5CDD505-2E9C-101B-9397-08002B2CF9AE}" pid="10" name="Publication Date:">
    <vt:filetime>2013-06-12T15:11:24Z</vt:filetime>
  </property>
  <property fmtid="{D5CDD505-2E9C-101B-9397-08002B2CF9AE}" pid="11" name="Project Manager">
    <vt:lpwstr/>
  </property>
  <property fmtid="{D5CDD505-2E9C-101B-9397-08002B2CF9AE}" pid="12" name="Importance">
    <vt:lpwstr/>
  </property>
  <property fmtid="{D5CDD505-2E9C-101B-9397-08002B2CF9AE}" pid="13" name="Project Name">
    <vt:lpwstr/>
  </property>
  <property fmtid="{D5CDD505-2E9C-101B-9397-08002B2CF9AE}" pid="14" name="Applicable Duration">
    <vt:lpwstr/>
  </property>
  <property fmtid="{D5CDD505-2E9C-101B-9397-08002B2CF9AE}" pid="15" name="Ref No">
    <vt:lpwstr/>
  </property>
  <property fmtid="{D5CDD505-2E9C-101B-9397-08002B2CF9AE}" pid="16" name="Project Owner">
    <vt:lpwstr/>
  </property>
  <property fmtid="{D5CDD505-2E9C-101B-9397-08002B2CF9AE}" pid="17" name="TemplateUrl">
    <vt:lpwstr/>
  </property>
  <property fmtid="{D5CDD505-2E9C-101B-9397-08002B2CF9AE}" pid="18" name="CC">
    <vt:lpwstr/>
  </property>
  <property fmtid="{D5CDD505-2E9C-101B-9397-08002B2CF9AE}" pid="19" name="To">
    <vt:lpwstr/>
  </property>
  <property fmtid="{D5CDD505-2E9C-101B-9397-08002B2CF9AE}" pid="20" name="Classification">
    <vt:lpwstr>Unclassified</vt:lpwstr>
  </property>
  <property fmtid="{D5CDD505-2E9C-101B-9397-08002B2CF9AE}" pid="21" name="::">
    <vt:lpwstr>-Main Document</vt:lpwstr>
  </property>
  <property fmtid="{D5CDD505-2E9C-101B-9397-08002B2CF9AE}" pid="22" name="Attach Count">
    <vt:lpwstr/>
  </property>
  <property fmtid="{D5CDD505-2E9C-101B-9397-08002B2CF9AE}" pid="23" name="Notes0">
    <vt:lpwstr/>
  </property>
  <property fmtid="{D5CDD505-2E9C-101B-9397-08002B2CF9AE}" pid="24" name="docIndexRef">
    <vt:lpwstr>fa2b706f-b031-4fce-be25-7d1411496ec4</vt:lpwstr>
  </property>
  <property fmtid="{D5CDD505-2E9C-101B-9397-08002B2CF9AE}" pid="25" name="bjSaver">
    <vt:lpwstr>88lPKMdswBk8JM1SXJtTzEQ7IrP74mGW</vt:lpwstr>
  </property>
  <property fmtid="{D5CDD505-2E9C-101B-9397-08002B2CF9AE}" pid="26" name="OIAssociatedTeam">
    <vt:lpwstr/>
  </property>
  <property fmtid="{D5CDD505-2E9C-101B-9397-08002B2CF9AE}" pid="27" name="bjDocumentSecurityLabel">
    <vt:lpwstr>This item has no classification</vt:lpwstr>
  </property>
</Properties>
</file>