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5"/>
        <w:gridCol w:w="2959"/>
      </w:tblGrid>
      <w:tr w:rsidR="003A7027" w:rsidTr="003A7027">
        <w:trPr>
          <w:trHeight w:val="561"/>
        </w:trPr>
        <w:tc>
          <w:tcPr>
            <w:tcW w:w="10343" w:type="dxa"/>
          </w:tcPr>
          <w:p w:rsidR="003A7027" w:rsidRPr="003A7027" w:rsidRDefault="003A7027" w:rsidP="003A7027">
            <w:pPr>
              <w:pStyle w:val="Heading1"/>
              <w:rPr>
                <w:b/>
              </w:rPr>
            </w:pPr>
            <w:r w:rsidRPr="003A7027">
              <w:rPr>
                <w:b/>
                <w:color w:val="auto"/>
              </w:rPr>
              <w:t>Objectives</w:t>
            </w:r>
            <w:r w:rsidR="002A1DC9">
              <w:rPr>
                <w:b/>
                <w:color w:val="auto"/>
              </w:rPr>
              <w:t xml:space="preserve"> 2020/21 – Q1 – April-June Inclusive</w:t>
            </w:r>
          </w:p>
        </w:tc>
        <w:tc>
          <w:tcPr>
            <w:tcW w:w="3827" w:type="dxa"/>
          </w:tcPr>
          <w:p w:rsidR="003A7027" w:rsidRPr="003A7027" w:rsidRDefault="003A7027" w:rsidP="003A7027">
            <w:pPr>
              <w:pStyle w:val="Heading3"/>
              <w:rPr>
                <w:color w:val="auto"/>
              </w:rPr>
            </w:pPr>
          </w:p>
        </w:tc>
      </w:tr>
      <w:tr w:rsidR="003A7027" w:rsidTr="003A7027">
        <w:trPr>
          <w:trHeight w:val="561"/>
        </w:trPr>
        <w:tc>
          <w:tcPr>
            <w:tcW w:w="10343" w:type="dxa"/>
          </w:tcPr>
          <w:p w:rsidR="003A7027" w:rsidRPr="003A7027" w:rsidRDefault="003A7027" w:rsidP="003A7027">
            <w:pPr>
              <w:pStyle w:val="Heading3"/>
              <w:rPr>
                <w:b/>
                <w:color w:val="auto"/>
              </w:rPr>
            </w:pPr>
            <w:r w:rsidRPr="003A7027">
              <w:rPr>
                <w:b/>
                <w:color w:val="auto"/>
              </w:rPr>
              <w:t>Liz Johnston</w:t>
            </w:r>
          </w:p>
        </w:tc>
        <w:tc>
          <w:tcPr>
            <w:tcW w:w="3827" w:type="dxa"/>
          </w:tcPr>
          <w:p w:rsidR="003A7027" w:rsidRPr="003A7027" w:rsidRDefault="003A7027" w:rsidP="002A1DC9">
            <w:pPr>
              <w:pStyle w:val="Heading3"/>
              <w:rPr>
                <w:b/>
                <w:color w:val="auto"/>
              </w:rPr>
            </w:pPr>
            <w:r w:rsidRPr="003A7027">
              <w:rPr>
                <w:b/>
                <w:color w:val="auto"/>
              </w:rPr>
              <w:t xml:space="preserve">Last Updated: </w:t>
            </w:r>
            <w:r w:rsidR="002F5665">
              <w:rPr>
                <w:b/>
                <w:color w:val="auto"/>
              </w:rPr>
              <w:t xml:space="preserve"> </w:t>
            </w:r>
            <w:r w:rsidR="002A1DC9">
              <w:rPr>
                <w:b/>
                <w:color w:val="auto"/>
              </w:rPr>
              <w:t>17/06/2020</w:t>
            </w:r>
          </w:p>
        </w:tc>
      </w:tr>
      <w:tr w:rsidR="003A7027" w:rsidTr="003A7027">
        <w:trPr>
          <w:trHeight w:val="294"/>
        </w:trPr>
        <w:tc>
          <w:tcPr>
            <w:tcW w:w="10343" w:type="dxa"/>
          </w:tcPr>
          <w:p w:rsidR="003A7027" w:rsidRPr="003A7027" w:rsidRDefault="003A7027" w:rsidP="003A7027">
            <w:pPr>
              <w:pStyle w:val="Heading3"/>
              <w:rPr>
                <w:b/>
                <w:color w:val="auto"/>
              </w:rPr>
            </w:pPr>
            <w:r w:rsidRPr="003A7027">
              <w:rPr>
                <w:b/>
                <w:color w:val="auto"/>
              </w:rPr>
              <w:t>Data Business Analyst</w:t>
            </w:r>
          </w:p>
        </w:tc>
        <w:tc>
          <w:tcPr>
            <w:tcW w:w="3827" w:type="dxa"/>
          </w:tcPr>
          <w:p w:rsidR="003A7027" w:rsidRPr="003A7027" w:rsidRDefault="003A7027" w:rsidP="003A7027">
            <w:pPr>
              <w:pStyle w:val="Heading3"/>
              <w:rPr>
                <w:b/>
                <w:color w:val="auto"/>
              </w:rPr>
            </w:pPr>
          </w:p>
        </w:tc>
      </w:tr>
    </w:tbl>
    <w:p w:rsidR="003A7027" w:rsidRDefault="003A7027" w:rsidP="003A7027"/>
    <w:p w:rsidR="002A1DC9" w:rsidRPr="007742B3" w:rsidRDefault="002A1DC9" w:rsidP="002A1DC9">
      <w:pPr>
        <w:rPr>
          <w:b/>
        </w:rPr>
      </w:pPr>
      <w:r>
        <w:rPr>
          <w:b/>
        </w:rPr>
        <w:t xml:space="preserve">Work with </w:t>
      </w:r>
      <w:r w:rsidR="005E2632">
        <w:rPr>
          <w:b/>
        </w:rPr>
        <w:t>NARMs</w:t>
      </w:r>
      <w:r>
        <w:rPr>
          <w:b/>
        </w:rPr>
        <w:t xml:space="preserve"> business user to setup required environment and </w:t>
      </w:r>
      <w:r w:rsidR="00A15809">
        <w:rPr>
          <w:b/>
        </w:rPr>
        <w:t>instructions</w:t>
      </w:r>
      <w:r>
        <w:rPr>
          <w:b/>
        </w:rPr>
        <w:t xml:space="preserve"> to facilitate NARMS self-serve of the NPC NARMs pipeline</w:t>
      </w:r>
      <w:r w:rsidR="00A15809">
        <w:rPr>
          <w:b/>
        </w:rPr>
        <w:t xml:space="preserve"> by end April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2A1DC9" w:rsidTr="005E2632">
        <w:tc>
          <w:tcPr>
            <w:tcW w:w="2405" w:type="dxa"/>
            <w:shd w:val="clear" w:color="auto" w:fill="DEEAF6" w:themeFill="accent1" w:themeFillTint="33"/>
          </w:tcPr>
          <w:p w:rsidR="002A1DC9" w:rsidRPr="003A7027" w:rsidRDefault="002A1DC9" w:rsidP="0053692E">
            <w:pPr>
              <w:rPr>
                <w:b/>
              </w:rPr>
            </w:pPr>
            <w:r w:rsidRPr="003A7027">
              <w:rPr>
                <w:b/>
              </w:rPr>
              <w:t>How</w:t>
            </w:r>
          </w:p>
        </w:tc>
        <w:tc>
          <w:tcPr>
            <w:tcW w:w="7789" w:type="dxa"/>
          </w:tcPr>
          <w:p w:rsidR="002A1DC9" w:rsidRDefault="00A15809" w:rsidP="00091F49">
            <w:pPr>
              <w:pStyle w:val="ListParagraph"/>
              <w:numPr>
                <w:ilvl w:val="0"/>
                <w:numId w:val="21"/>
              </w:numPr>
            </w:pPr>
            <w:r>
              <w:t>List of required software for user to raise IT Service Desk Ticket</w:t>
            </w:r>
          </w:p>
          <w:p w:rsidR="00A15809" w:rsidRDefault="00A15809" w:rsidP="00091F49">
            <w:pPr>
              <w:pStyle w:val="ListParagraph"/>
              <w:numPr>
                <w:ilvl w:val="0"/>
                <w:numId w:val="21"/>
              </w:numPr>
            </w:pPr>
            <w:r>
              <w:t>Document step-by-step process and share on Confluence</w:t>
            </w:r>
          </w:p>
          <w:p w:rsidR="00A15809" w:rsidRDefault="00A15809" w:rsidP="00091F49">
            <w:pPr>
              <w:pStyle w:val="ListParagraph"/>
              <w:numPr>
                <w:ilvl w:val="0"/>
                <w:numId w:val="21"/>
              </w:numPr>
            </w:pPr>
            <w:r>
              <w:t>Arrange walk through session on software and running pipelines</w:t>
            </w:r>
          </w:p>
          <w:p w:rsidR="00A15809" w:rsidRDefault="00A15809" w:rsidP="00091F49">
            <w:pPr>
              <w:pStyle w:val="ListParagraph"/>
              <w:numPr>
                <w:ilvl w:val="0"/>
                <w:numId w:val="21"/>
              </w:numPr>
            </w:pPr>
            <w:r>
              <w:t>Support as necessary - questions/issues</w:t>
            </w:r>
          </w:p>
        </w:tc>
      </w:tr>
      <w:tr w:rsidR="002A1DC9" w:rsidTr="005E2632">
        <w:tc>
          <w:tcPr>
            <w:tcW w:w="2405" w:type="dxa"/>
            <w:shd w:val="clear" w:color="auto" w:fill="DEEAF6" w:themeFill="accent1" w:themeFillTint="33"/>
          </w:tcPr>
          <w:p w:rsidR="002A1DC9" w:rsidRPr="003A7027" w:rsidRDefault="002A1DC9" w:rsidP="0053692E">
            <w:pPr>
              <w:rPr>
                <w:b/>
              </w:rPr>
            </w:pPr>
            <w:r w:rsidRPr="003A7027">
              <w:rPr>
                <w:b/>
              </w:rPr>
              <w:t>Measured by</w:t>
            </w:r>
          </w:p>
        </w:tc>
        <w:tc>
          <w:tcPr>
            <w:tcW w:w="7789" w:type="dxa"/>
          </w:tcPr>
          <w:p w:rsidR="002A1DC9" w:rsidRPr="0053554E" w:rsidRDefault="00A15809" w:rsidP="00091F49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>All software loaded and user confident in operation</w:t>
            </w:r>
            <w:r w:rsidR="00A32BFD" w:rsidRPr="0053554E">
              <w:rPr>
                <w:color w:val="00B050"/>
              </w:rPr>
              <w:t xml:space="preserve"> </w:t>
            </w:r>
          </w:p>
          <w:p w:rsidR="00A15809" w:rsidRPr="0053554E" w:rsidRDefault="00A15809" w:rsidP="00091F49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>User can access, understand and follow step-by-set instructions</w:t>
            </w:r>
          </w:p>
          <w:p w:rsidR="00A15809" w:rsidRPr="0053554E" w:rsidRDefault="00A15809" w:rsidP="00091F49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>User confident in running pipelines</w:t>
            </w:r>
          </w:p>
          <w:p w:rsidR="00A15809" w:rsidRPr="00A15809" w:rsidRDefault="00091F49" w:rsidP="00091F49">
            <w:pPr>
              <w:pStyle w:val="ListParagraph"/>
              <w:numPr>
                <w:ilvl w:val="0"/>
                <w:numId w:val="22"/>
              </w:numPr>
            </w:pPr>
            <w:r w:rsidRPr="0053554E">
              <w:rPr>
                <w:color w:val="00B050"/>
              </w:rPr>
              <w:t>Less than 3</w:t>
            </w:r>
            <w:r w:rsidR="00A15809" w:rsidRPr="0053554E">
              <w:rPr>
                <w:color w:val="00B050"/>
              </w:rPr>
              <w:t xml:space="preserve"> follow-up queries – these were about the data rather than the process.</w:t>
            </w:r>
          </w:p>
        </w:tc>
      </w:tr>
      <w:tr w:rsidR="002A1DC9" w:rsidTr="005E2632">
        <w:tc>
          <w:tcPr>
            <w:tcW w:w="2405" w:type="dxa"/>
            <w:shd w:val="clear" w:color="auto" w:fill="DEEAF6" w:themeFill="accent1" w:themeFillTint="33"/>
          </w:tcPr>
          <w:p w:rsidR="002A1DC9" w:rsidRPr="003A7027" w:rsidRDefault="005E2632" w:rsidP="0053692E">
            <w:pPr>
              <w:rPr>
                <w:b/>
              </w:rPr>
            </w:pPr>
            <w:r>
              <w:rPr>
                <w:b/>
              </w:rPr>
              <w:t>DS Community Objs</w:t>
            </w:r>
          </w:p>
        </w:tc>
        <w:tc>
          <w:tcPr>
            <w:tcW w:w="7789" w:type="dxa"/>
          </w:tcPr>
          <w:p w:rsidR="002A1DC9" w:rsidRDefault="005E2632" w:rsidP="0053692E">
            <w:r>
              <w:t>Improve engagement – training</w:t>
            </w:r>
          </w:p>
          <w:p w:rsidR="005E2632" w:rsidRDefault="005E2632" w:rsidP="0053692E">
            <w:r>
              <w:t>Deliver supporting services that meet user needs</w:t>
            </w:r>
          </w:p>
        </w:tc>
      </w:tr>
      <w:tr w:rsidR="005E2632" w:rsidTr="005E2632">
        <w:tc>
          <w:tcPr>
            <w:tcW w:w="2405" w:type="dxa"/>
            <w:shd w:val="clear" w:color="auto" w:fill="DEEAF6" w:themeFill="accent1" w:themeFillTint="33"/>
          </w:tcPr>
          <w:p w:rsidR="005E2632" w:rsidRPr="003A7027" w:rsidRDefault="005E2632" w:rsidP="005E2632">
            <w:pPr>
              <w:rPr>
                <w:b/>
              </w:rPr>
            </w:pPr>
            <w:r w:rsidRPr="003A7027">
              <w:rPr>
                <w:b/>
              </w:rPr>
              <w:t>Competencies</w:t>
            </w:r>
          </w:p>
        </w:tc>
        <w:tc>
          <w:tcPr>
            <w:tcW w:w="7789" w:type="dxa"/>
          </w:tcPr>
          <w:p w:rsidR="005E2632" w:rsidRDefault="005E2632" w:rsidP="005E2632">
            <w:r w:rsidRPr="002B67F0">
              <w:t>Collaborating and Partnering</w:t>
            </w:r>
            <w:r>
              <w:t>, Leading and communicating</w:t>
            </w:r>
            <w:r w:rsidR="004B3876">
              <w:t>, Building Capability for All</w:t>
            </w:r>
          </w:p>
        </w:tc>
      </w:tr>
      <w:tr w:rsidR="005E2632" w:rsidTr="005E2632">
        <w:tc>
          <w:tcPr>
            <w:tcW w:w="2405" w:type="dxa"/>
            <w:shd w:val="clear" w:color="auto" w:fill="DEEAF6" w:themeFill="accent1" w:themeFillTint="33"/>
          </w:tcPr>
          <w:p w:rsidR="005E2632" w:rsidRPr="003A7027" w:rsidRDefault="005E2632" w:rsidP="005E2632">
            <w:pPr>
              <w:rPr>
                <w:b/>
              </w:rPr>
            </w:pPr>
            <w:r w:rsidRPr="003A7027">
              <w:rPr>
                <w:b/>
              </w:rPr>
              <w:t>Time-bound</w:t>
            </w:r>
          </w:p>
        </w:tc>
        <w:tc>
          <w:tcPr>
            <w:tcW w:w="7789" w:type="dxa"/>
          </w:tcPr>
          <w:p w:rsidR="005E2632" w:rsidRDefault="005E2632" w:rsidP="005E2632">
            <w:r>
              <w:t>30 April 2020</w:t>
            </w:r>
          </w:p>
        </w:tc>
      </w:tr>
      <w:tr w:rsidR="005E2632" w:rsidTr="005E2632">
        <w:tc>
          <w:tcPr>
            <w:tcW w:w="2405" w:type="dxa"/>
            <w:shd w:val="clear" w:color="auto" w:fill="DEEAF6" w:themeFill="accent1" w:themeFillTint="33"/>
          </w:tcPr>
          <w:p w:rsidR="005E2632" w:rsidRPr="003A7027" w:rsidRDefault="005E2632" w:rsidP="005E2632">
            <w:pPr>
              <w:rPr>
                <w:b/>
              </w:rPr>
            </w:pPr>
            <w:r>
              <w:rPr>
                <w:b/>
              </w:rPr>
              <w:t>Complete</w:t>
            </w:r>
            <w:r w:rsidR="00D969BC">
              <w:rPr>
                <w:b/>
              </w:rPr>
              <w:t>d</w:t>
            </w:r>
          </w:p>
        </w:tc>
        <w:tc>
          <w:tcPr>
            <w:tcW w:w="7789" w:type="dxa"/>
          </w:tcPr>
          <w:p w:rsidR="005E2632" w:rsidRDefault="005E2632" w:rsidP="005E2632">
            <w:r>
              <w:t>15 April 2020</w:t>
            </w:r>
          </w:p>
        </w:tc>
      </w:tr>
    </w:tbl>
    <w:p w:rsidR="002A1DC9" w:rsidRDefault="002A1DC9" w:rsidP="00B961B0">
      <w:pPr>
        <w:rPr>
          <w:b/>
        </w:rPr>
      </w:pPr>
    </w:p>
    <w:p w:rsidR="005E2632" w:rsidRPr="007742B3" w:rsidRDefault="005E2632" w:rsidP="005E2632">
      <w:pPr>
        <w:rPr>
          <w:b/>
        </w:rPr>
      </w:pPr>
      <w:r>
        <w:rPr>
          <w:b/>
        </w:rPr>
        <w:t>Work with NPC ED2 team to assist in the design of the ED2 BPDT for draft publication end July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7924"/>
      </w:tblGrid>
      <w:tr w:rsidR="005E2632" w:rsidTr="00300774">
        <w:tc>
          <w:tcPr>
            <w:tcW w:w="2275" w:type="dxa"/>
            <w:shd w:val="clear" w:color="auto" w:fill="DEEAF6" w:themeFill="accent1" w:themeFillTint="33"/>
          </w:tcPr>
          <w:p w:rsidR="005E2632" w:rsidRPr="003A7027" w:rsidRDefault="005E2632" w:rsidP="0053692E">
            <w:pPr>
              <w:rPr>
                <w:b/>
              </w:rPr>
            </w:pPr>
            <w:r w:rsidRPr="003A7027">
              <w:rPr>
                <w:b/>
              </w:rPr>
              <w:t>How</w:t>
            </w:r>
          </w:p>
        </w:tc>
        <w:tc>
          <w:tcPr>
            <w:tcW w:w="7919" w:type="dxa"/>
          </w:tcPr>
          <w:p w:rsidR="00ED6853" w:rsidRDefault="00ED6853" w:rsidP="00091F49">
            <w:pPr>
              <w:pStyle w:val="ListParagraph"/>
              <w:numPr>
                <w:ilvl w:val="0"/>
                <w:numId w:val="23"/>
              </w:numPr>
            </w:pPr>
            <w:r>
              <w:t>Share process and lessons learned from the DS:NPC engagement for ET, GT &amp; GD with both the ED2 team and DNOs</w:t>
            </w:r>
            <w:r w:rsidR="00091F49">
              <w:t xml:space="preserve"> (PowerPoint previously presented to full NPC team)</w:t>
            </w:r>
          </w:p>
          <w:p w:rsidR="00ED6853" w:rsidRDefault="00ED6853" w:rsidP="00091F49">
            <w:pPr>
              <w:pStyle w:val="ListParagraph"/>
              <w:numPr>
                <w:ilvl w:val="0"/>
                <w:numId w:val="23"/>
              </w:numPr>
            </w:pPr>
            <w:r>
              <w:t>Give guidance on preferred options and good practice</w:t>
            </w:r>
          </w:p>
          <w:p w:rsidR="00091F49" w:rsidRDefault="00091F49" w:rsidP="00091F49">
            <w:pPr>
              <w:pStyle w:val="ListParagraph"/>
              <w:numPr>
                <w:ilvl w:val="0"/>
                <w:numId w:val="23"/>
              </w:numPr>
            </w:pPr>
            <w:r>
              <w:t>Present problem statement to DS Analysts to recommend potential solution options and agree preferred option</w:t>
            </w:r>
          </w:p>
          <w:p w:rsidR="00ED6853" w:rsidRDefault="00ED6853" w:rsidP="00091F49">
            <w:pPr>
              <w:pStyle w:val="ListParagraph"/>
              <w:numPr>
                <w:ilvl w:val="0"/>
                <w:numId w:val="23"/>
              </w:numPr>
            </w:pPr>
            <w:r>
              <w:t>Agree solution</w:t>
            </w:r>
            <w:r w:rsidR="00091F49">
              <w:t xml:space="preserve"> with ED2 team</w:t>
            </w:r>
          </w:p>
          <w:p w:rsidR="00091F49" w:rsidRDefault="00091F49" w:rsidP="00091F49">
            <w:pPr>
              <w:pStyle w:val="ListParagraph"/>
              <w:numPr>
                <w:ilvl w:val="0"/>
                <w:numId w:val="23"/>
              </w:numPr>
            </w:pPr>
            <w:r>
              <w:t>Agree process for validating draft worksheets from ED2 BPDT</w:t>
            </w:r>
          </w:p>
          <w:p w:rsidR="004B3876" w:rsidRDefault="004B3876" w:rsidP="00091F49">
            <w:pPr>
              <w:pStyle w:val="ListParagraph"/>
              <w:numPr>
                <w:ilvl w:val="0"/>
                <w:numId w:val="23"/>
              </w:numPr>
            </w:pPr>
            <w:r>
              <w:t>Knowledge transfer of artefacts and process</w:t>
            </w:r>
          </w:p>
        </w:tc>
      </w:tr>
      <w:tr w:rsidR="005E2632" w:rsidTr="0053692E">
        <w:tc>
          <w:tcPr>
            <w:tcW w:w="2830" w:type="dxa"/>
            <w:shd w:val="clear" w:color="auto" w:fill="DEEAF6" w:themeFill="accent1" w:themeFillTint="33"/>
          </w:tcPr>
          <w:p w:rsidR="005E2632" w:rsidRPr="003A7027" w:rsidRDefault="005E2632" w:rsidP="0053692E">
            <w:pPr>
              <w:rPr>
                <w:b/>
              </w:rPr>
            </w:pPr>
            <w:r w:rsidRPr="003A7027">
              <w:rPr>
                <w:b/>
              </w:rPr>
              <w:t>Measured by</w:t>
            </w:r>
          </w:p>
        </w:tc>
        <w:tc>
          <w:tcPr>
            <w:tcW w:w="12296" w:type="dxa"/>
          </w:tcPr>
          <w:p w:rsidR="005E2632" w:rsidRPr="0053554E" w:rsidRDefault="005E2632" w:rsidP="00541774">
            <w:pPr>
              <w:pStyle w:val="ListParagraph"/>
              <w:numPr>
                <w:ilvl w:val="0"/>
                <w:numId w:val="24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 xml:space="preserve">Positive engagement with </w:t>
            </w:r>
            <w:r w:rsidR="00091F49" w:rsidRPr="0053554E">
              <w:rPr>
                <w:color w:val="00B050"/>
              </w:rPr>
              <w:t>ED2 team – email responses to work delivered</w:t>
            </w:r>
          </w:p>
          <w:p w:rsidR="00091F49" w:rsidRPr="0053554E" w:rsidRDefault="00091F49" w:rsidP="00541774">
            <w:pPr>
              <w:pStyle w:val="ListParagraph"/>
              <w:numPr>
                <w:ilvl w:val="0"/>
                <w:numId w:val="24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>Presentation of ET/GT/GD process and lessons well received by ED2 and DNOs with engagement measured by many questions and suggestions</w:t>
            </w:r>
          </w:p>
          <w:p w:rsidR="00091F49" w:rsidRPr="0053554E" w:rsidRDefault="00091F49" w:rsidP="00541774">
            <w:pPr>
              <w:pStyle w:val="ListParagraph"/>
              <w:numPr>
                <w:ilvl w:val="0"/>
                <w:numId w:val="24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>Positive engagement with DS Analysts with 3 options aired and solution agreed</w:t>
            </w:r>
          </w:p>
          <w:p w:rsidR="00091F49" w:rsidRPr="0053554E" w:rsidRDefault="00091F49" w:rsidP="00541774">
            <w:pPr>
              <w:pStyle w:val="ListParagraph"/>
              <w:numPr>
                <w:ilvl w:val="0"/>
                <w:numId w:val="24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>ED2 Team provided worksheet template and I produced matching metadata framework, python code and output csv for discussion</w:t>
            </w:r>
            <w:r w:rsidR="00300774" w:rsidRPr="0053554E">
              <w:rPr>
                <w:color w:val="00B050"/>
              </w:rPr>
              <w:t xml:space="preserve"> and agreement</w:t>
            </w:r>
          </w:p>
          <w:p w:rsidR="00091F49" w:rsidRPr="0053554E" w:rsidRDefault="00300774" w:rsidP="00541774">
            <w:pPr>
              <w:pStyle w:val="ListParagraph"/>
              <w:numPr>
                <w:ilvl w:val="0"/>
                <w:numId w:val="24"/>
              </w:numPr>
              <w:rPr>
                <w:color w:val="00B050"/>
              </w:rPr>
            </w:pPr>
            <w:r w:rsidRPr="0053554E">
              <w:rPr>
                <w:color w:val="00B050"/>
              </w:rPr>
              <w:t>Agreement on</w:t>
            </w:r>
            <w:r w:rsidR="00091F49" w:rsidRPr="0053554E">
              <w:rPr>
                <w:color w:val="00B050"/>
              </w:rPr>
              <w:t xml:space="preserve"> process with ED2 team to use tested template as basis for all sheets which would be drip fed to </w:t>
            </w:r>
            <w:r w:rsidR="00541774" w:rsidRPr="0053554E">
              <w:rPr>
                <w:color w:val="00B050"/>
              </w:rPr>
              <w:t>me as they become available for me to produce the required frameworks, code and cvs</w:t>
            </w:r>
          </w:p>
          <w:p w:rsidR="00541774" w:rsidRDefault="00300774" w:rsidP="00541774">
            <w:pPr>
              <w:pStyle w:val="ListParagraph"/>
              <w:numPr>
                <w:ilvl w:val="0"/>
                <w:numId w:val="24"/>
              </w:numPr>
            </w:pPr>
            <w:r>
              <w:t>Agreement that the</w:t>
            </w:r>
            <w:r w:rsidR="00541774">
              <w:t xml:space="preserve"> ED2 team would use these drafts as their bpdt draft delivery to DNOs due end July 2020 with the understanding that these may change as we go through the</w:t>
            </w:r>
            <w:r w:rsidR="004B3876">
              <w:t xml:space="preserve"> process and any policy changes</w:t>
            </w:r>
          </w:p>
          <w:p w:rsidR="004B3876" w:rsidRPr="00091F49" w:rsidRDefault="004B3876" w:rsidP="00541774">
            <w:pPr>
              <w:pStyle w:val="ListParagraph"/>
              <w:numPr>
                <w:ilvl w:val="0"/>
                <w:numId w:val="24"/>
              </w:numPr>
            </w:pPr>
            <w:r>
              <w:t>1 NPC user confident in creating artefacts and running transformation pipeline.</w:t>
            </w:r>
          </w:p>
        </w:tc>
      </w:tr>
      <w:tr w:rsidR="007A2542" w:rsidTr="0053692E">
        <w:tc>
          <w:tcPr>
            <w:tcW w:w="2830" w:type="dxa"/>
            <w:shd w:val="clear" w:color="auto" w:fill="DEEAF6" w:themeFill="accent1" w:themeFillTint="33"/>
          </w:tcPr>
          <w:p w:rsidR="007A2542" w:rsidRPr="003A7027" w:rsidRDefault="007A2542" w:rsidP="0053692E">
            <w:pPr>
              <w:rPr>
                <w:b/>
              </w:rPr>
            </w:pPr>
            <w:r>
              <w:rPr>
                <w:b/>
              </w:rPr>
              <w:t>Issues</w:t>
            </w:r>
          </w:p>
        </w:tc>
        <w:tc>
          <w:tcPr>
            <w:tcW w:w="12296" w:type="dxa"/>
          </w:tcPr>
          <w:p w:rsidR="007A2542" w:rsidRDefault="007A2542" w:rsidP="00541774">
            <w:pPr>
              <w:pStyle w:val="ListParagraph"/>
              <w:numPr>
                <w:ilvl w:val="0"/>
                <w:numId w:val="24"/>
              </w:numPr>
            </w:pPr>
            <w:r>
              <w:t>ED2 team cannot specify their data requirements for ED2 analysis so cannot specify an API at this time</w:t>
            </w:r>
            <w:r w:rsidR="003519B4">
              <w:br/>
              <w:t>One-off report; suggest need API for annual RRP submissions</w:t>
            </w:r>
          </w:p>
          <w:p w:rsidR="007A2542" w:rsidRDefault="007A2542" w:rsidP="00541774">
            <w:pPr>
              <w:pStyle w:val="ListParagraph"/>
              <w:numPr>
                <w:ilvl w:val="0"/>
                <w:numId w:val="24"/>
              </w:numPr>
            </w:pPr>
            <w:r>
              <w:t>DNOs requested continuation of Excel workbook for BPDT as this is how they collate their BPDT data from several systems</w:t>
            </w:r>
          </w:p>
          <w:p w:rsidR="007A2542" w:rsidRDefault="007A2542" w:rsidP="007A2542">
            <w:pPr>
              <w:pStyle w:val="ListParagraph"/>
              <w:numPr>
                <w:ilvl w:val="0"/>
                <w:numId w:val="24"/>
              </w:numPr>
            </w:pPr>
            <w:r>
              <w:t xml:space="preserve">ED2 team do not have capacity to deliver draft worksheets before the target of end of July to allow the production of draft related artefacts.  Will drip feed what </w:t>
            </w:r>
            <w:r>
              <w:lastRenderedPageBreak/>
              <w:t xml:space="preserve">they have and full workbook at end of July.  </w:t>
            </w:r>
            <w:r w:rsidR="00A32BFD">
              <w:br/>
              <w:t>Note: target draft BPDT to DNOs end July 2020 but DNO submission of BPDT Dec 2021</w:t>
            </w:r>
          </w:p>
          <w:p w:rsidR="007A2542" w:rsidRDefault="007A2542" w:rsidP="007A2542">
            <w:pPr>
              <w:pStyle w:val="ListParagraph"/>
              <w:numPr>
                <w:ilvl w:val="0"/>
                <w:numId w:val="24"/>
              </w:numPr>
            </w:pPr>
            <w:r>
              <w:t xml:space="preserve">ED2 team suggest there will be ~150 worksheets for transformation.  They expect these to fall into 4 or 5 types that could then follow a template per type </w:t>
            </w:r>
          </w:p>
        </w:tc>
      </w:tr>
      <w:tr w:rsidR="00300774" w:rsidTr="0053692E">
        <w:tc>
          <w:tcPr>
            <w:tcW w:w="2830" w:type="dxa"/>
            <w:shd w:val="clear" w:color="auto" w:fill="DEEAF6" w:themeFill="accent1" w:themeFillTint="33"/>
          </w:tcPr>
          <w:p w:rsidR="00300774" w:rsidRPr="003A7027" w:rsidRDefault="00300774" w:rsidP="00300774">
            <w:pPr>
              <w:rPr>
                <w:b/>
              </w:rPr>
            </w:pPr>
            <w:r>
              <w:rPr>
                <w:b/>
              </w:rPr>
              <w:lastRenderedPageBreak/>
              <w:t>DS Community Objs</w:t>
            </w:r>
          </w:p>
        </w:tc>
        <w:tc>
          <w:tcPr>
            <w:tcW w:w="12296" w:type="dxa"/>
          </w:tcPr>
          <w:p w:rsidR="00300774" w:rsidRDefault="00300774" w:rsidP="00300774">
            <w:r>
              <w:t>Improve engagement – RFI design</w:t>
            </w:r>
            <w:r w:rsidR="00AC6B3D">
              <w:t>, AMAs, training</w:t>
            </w:r>
          </w:p>
          <w:p w:rsidR="00300774" w:rsidRDefault="00300774" w:rsidP="00300774">
            <w:r>
              <w:t>Deliver supporting services that meet user needs</w:t>
            </w:r>
          </w:p>
        </w:tc>
      </w:tr>
      <w:tr w:rsidR="00300774" w:rsidTr="00300774">
        <w:tc>
          <w:tcPr>
            <w:tcW w:w="2275" w:type="dxa"/>
            <w:shd w:val="clear" w:color="auto" w:fill="DEEAF6" w:themeFill="accent1" w:themeFillTint="33"/>
          </w:tcPr>
          <w:p w:rsidR="00300774" w:rsidRPr="003A7027" w:rsidRDefault="00300774" w:rsidP="00300774">
            <w:pPr>
              <w:rPr>
                <w:b/>
              </w:rPr>
            </w:pPr>
            <w:r w:rsidRPr="003A7027">
              <w:rPr>
                <w:b/>
              </w:rPr>
              <w:t>Competencies</w:t>
            </w:r>
          </w:p>
        </w:tc>
        <w:tc>
          <w:tcPr>
            <w:tcW w:w="7919" w:type="dxa"/>
          </w:tcPr>
          <w:p w:rsidR="00300774" w:rsidRDefault="004B3876" w:rsidP="004B3876">
            <w:r>
              <w:t>S</w:t>
            </w:r>
            <w:r w:rsidR="009C28AE">
              <w:t>eeing the B</w:t>
            </w:r>
            <w:r w:rsidR="00300774" w:rsidRPr="002B67F0">
              <w:t xml:space="preserve">ig </w:t>
            </w:r>
            <w:r>
              <w:t>P</w:t>
            </w:r>
            <w:r w:rsidR="00300774" w:rsidRPr="002B67F0">
              <w:t xml:space="preserve">icture, </w:t>
            </w:r>
            <w:r>
              <w:t xml:space="preserve">Changing and Improving, </w:t>
            </w:r>
            <w:r w:rsidR="00300774" w:rsidRPr="002B67F0">
              <w:t>Collaborating and Partnering</w:t>
            </w:r>
            <w:r>
              <w:t>, Leading and C</w:t>
            </w:r>
            <w:r w:rsidR="00300774">
              <w:t>ommunicating</w:t>
            </w:r>
            <w:r>
              <w:t>, Building Capability for All</w:t>
            </w:r>
          </w:p>
        </w:tc>
      </w:tr>
      <w:tr w:rsidR="00300774" w:rsidTr="00300774">
        <w:tc>
          <w:tcPr>
            <w:tcW w:w="2275" w:type="dxa"/>
            <w:shd w:val="clear" w:color="auto" w:fill="DEEAF6" w:themeFill="accent1" w:themeFillTint="33"/>
          </w:tcPr>
          <w:p w:rsidR="00300774" w:rsidRPr="003A7027" w:rsidRDefault="00300774" w:rsidP="00300774">
            <w:pPr>
              <w:rPr>
                <w:b/>
              </w:rPr>
            </w:pPr>
            <w:r w:rsidRPr="003A7027">
              <w:rPr>
                <w:b/>
              </w:rPr>
              <w:t>Time-bound</w:t>
            </w:r>
          </w:p>
        </w:tc>
        <w:tc>
          <w:tcPr>
            <w:tcW w:w="7919" w:type="dxa"/>
          </w:tcPr>
          <w:p w:rsidR="00300774" w:rsidRDefault="00300774" w:rsidP="00300774">
            <w:r>
              <w:t>31 July 2020</w:t>
            </w:r>
          </w:p>
        </w:tc>
      </w:tr>
      <w:tr w:rsidR="00D969BC" w:rsidTr="00300774">
        <w:tc>
          <w:tcPr>
            <w:tcW w:w="2275" w:type="dxa"/>
            <w:shd w:val="clear" w:color="auto" w:fill="DEEAF6" w:themeFill="accent1" w:themeFillTint="33"/>
          </w:tcPr>
          <w:p w:rsidR="00D969BC" w:rsidRPr="003A7027" w:rsidRDefault="00D969BC" w:rsidP="00300774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7919" w:type="dxa"/>
          </w:tcPr>
          <w:p w:rsidR="00D969BC" w:rsidRDefault="00D969BC" w:rsidP="00300774"/>
        </w:tc>
      </w:tr>
    </w:tbl>
    <w:p w:rsidR="005E2632" w:rsidRDefault="005E2632" w:rsidP="00B961B0">
      <w:pPr>
        <w:rPr>
          <w:b/>
        </w:rPr>
      </w:pPr>
    </w:p>
    <w:p w:rsidR="00D969BC" w:rsidRPr="007742B3" w:rsidRDefault="00D969BC" w:rsidP="00D969BC">
      <w:pPr>
        <w:rPr>
          <w:b/>
        </w:rPr>
      </w:pPr>
      <w:r>
        <w:rPr>
          <w:b/>
        </w:rPr>
        <w:t>Work with Data Services team to provide Complaints ingestion and process improvements - ongoing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D969BC" w:rsidTr="0053692E">
        <w:tc>
          <w:tcPr>
            <w:tcW w:w="2405" w:type="dxa"/>
            <w:shd w:val="clear" w:color="auto" w:fill="DEEAF6" w:themeFill="accent1" w:themeFillTint="33"/>
          </w:tcPr>
          <w:p w:rsidR="00D969BC" w:rsidRPr="003A7027" w:rsidRDefault="00D969BC" w:rsidP="0053692E">
            <w:pPr>
              <w:rPr>
                <w:b/>
              </w:rPr>
            </w:pPr>
            <w:r w:rsidRPr="003A7027">
              <w:rPr>
                <w:b/>
              </w:rPr>
              <w:t>How</w:t>
            </w:r>
          </w:p>
        </w:tc>
        <w:tc>
          <w:tcPr>
            <w:tcW w:w="7789" w:type="dxa"/>
          </w:tcPr>
          <w:p w:rsidR="00D969BC" w:rsidRDefault="00D969BC" w:rsidP="0053692E">
            <w:pPr>
              <w:pStyle w:val="ListParagraph"/>
              <w:numPr>
                <w:ilvl w:val="0"/>
                <w:numId w:val="21"/>
              </w:numPr>
            </w:pPr>
            <w:r>
              <w:t>Learn how to run the current full load complaints ingestion</w:t>
            </w:r>
          </w:p>
          <w:p w:rsidR="00D969BC" w:rsidRDefault="00D969BC" w:rsidP="0053692E">
            <w:pPr>
              <w:pStyle w:val="ListParagraph"/>
              <w:numPr>
                <w:ilvl w:val="0"/>
                <w:numId w:val="21"/>
              </w:numPr>
            </w:pPr>
            <w:r>
              <w:t>Update the complaints documentation</w:t>
            </w:r>
          </w:p>
          <w:p w:rsidR="00D969BC" w:rsidRDefault="00D969BC" w:rsidP="0053692E">
            <w:pPr>
              <w:pStyle w:val="ListParagraph"/>
              <w:numPr>
                <w:ilvl w:val="0"/>
                <w:numId w:val="21"/>
              </w:numPr>
            </w:pPr>
            <w:r>
              <w:t>Understand the new incremental process for complaints incremental through Airflow</w:t>
            </w:r>
          </w:p>
          <w:p w:rsidR="00D969BC" w:rsidRDefault="00D969BC" w:rsidP="00D969BC">
            <w:pPr>
              <w:pStyle w:val="ListParagraph"/>
              <w:numPr>
                <w:ilvl w:val="0"/>
                <w:numId w:val="21"/>
              </w:numPr>
            </w:pPr>
            <w:r>
              <w:t>Document the new Airflow complaints process</w:t>
            </w:r>
          </w:p>
        </w:tc>
      </w:tr>
      <w:tr w:rsidR="00D969BC" w:rsidTr="0053692E">
        <w:tc>
          <w:tcPr>
            <w:tcW w:w="2405" w:type="dxa"/>
            <w:shd w:val="clear" w:color="auto" w:fill="DEEAF6" w:themeFill="accent1" w:themeFillTint="33"/>
          </w:tcPr>
          <w:p w:rsidR="00D969BC" w:rsidRPr="003A7027" w:rsidRDefault="00D969BC" w:rsidP="0053692E">
            <w:pPr>
              <w:rPr>
                <w:b/>
              </w:rPr>
            </w:pPr>
            <w:r w:rsidRPr="003A7027">
              <w:rPr>
                <w:b/>
              </w:rPr>
              <w:t>Measured by</w:t>
            </w:r>
          </w:p>
        </w:tc>
        <w:tc>
          <w:tcPr>
            <w:tcW w:w="7789" w:type="dxa"/>
          </w:tcPr>
          <w:p w:rsidR="00D969BC" w:rsidRPr="00274970" w:rsidRDefault="00D969BC" w:rsidP="0053692E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274970">
              <w:rPr>
                <w:color w:val="00B050"/>
              </w:rPr>
              <w:t>Successfully running the GitLab complaints ingestion</w:t>
            </w:r>
          </w:p>
          <w:p w:rsidR="00D969BC" w:rsidRPr="00274970" w:rsidRDefault="00D969BC" w:rsidP="0053692E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274970">
              <w:rPr>
                <w:color w:val="00B050"/>
              </w:rPr>
              <w:t>Comprehensive documentation available that co</w:t>
            </w:r>
            <w:bookmarkStart w:id="0" w:name="_GoBack"/>
            <w:bookmarkEnd w:id="0"/>
            <w:r w:rsidRPr="00274970">
              <w:rPr>
                <w:color w:val="00B050"/>
              </w:rPr>
              <w:t>vers full GitLab process</w:t>
            </w:r>
          </w:p>
          <w:p w:rsidR="00D969BC" w:rsidRPr="00274970" w:rsidRDefault="00D969BC" w:rsidP="0053692E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274970">
              <w:rPr>
                <w:color w:val="00B050"/>
              </w:rPr>
              <w:t>Successfully running the reference airflow pipelines</w:t>
            </w:r>
          </w:p>
          <w:p w:rsidR="00D969BC" w:rsidRPr="00274970" w:rsidRDefault="00E4052A" w:rsidP="0053692E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274970">
              <w:rPr>
                <w:color w:val="00B050"/>
              </w:rPr>
              <w:t xml:space="preserve">Comprehensive documentation available on the </w:t>
            </w:r>
            <w:r w:rsidR="00D969BC" w:rsidRPr="00274970">
              <w:rPr>
                <w:color w:val="00B050"/>
              </w:rPr>
              <w:t>Airflow reference pipelines</w:t>
            </w:r>
          </w:p>
          <w:p w:rsidR="00D969BC" w:rsidRPr="00274970" w:rsidRDefault="00E4052A" w:rsidP="0053692E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274970">
              <w:rPr>
                <w:color w:val="00B050"/>
              </w:rPr>
              <w:t>Successful completion of</w:t>
            </w:r>
            <w:r w:rsidR="00D969BC" w:rsidRPr="00274970">
              <w:rPr>
                <w:color w:val="00B050"/>
              </w:rPr>
              <w:t xml:space="preserve"> the E2E </w:t>
            </w:r>
            <w:r w:rsidRPr="00274970">
              <w:rPr>
                <w:color w:val="00B050"/>
              </w:rPr>
              <w:t>test of monthly incremental Airflow process</w:t>
            </w:r>
          </w:p>
          <w:p w:rsidR="00E4052A" w:rsidRPr="00274970" w:rsidRDefault="00E4052A" w:rsidP="00E4052A">
            <w:pPr>
              <w:pStyle w:val="ListParagraph"/>
              <w:numPr>
                <w:ilvl w:val="0"/>
                <w:numId w:val="22"/>
              </w:numPr>
              <w:rPr>
                <w:color w:val="00B050"/>
              </w:rPr>
            </w:pPr>
            <w:r w:rsidRPr="00274970">
              <w:rPr>
                <w:color w:val="00B050"/>
              </w:rPr>
              <w:t>Tickets raised to remedy the issues found during the E2E test</w:t>
            </w:r>
          </w:p>
          <w:p w:rsidR="00E4052A" w:rsidRPr="00274970" w:rsidRDefault="00E4052A" w:rsidP="00E4052A">
            <w:pPr>
              <w:pStyle w:val="ListParagraph"/>
              <w:numPr>
                <w:ilvl w:val="0"/>
                <w:numId w:val="22"/>
              </w:numPr>
            </w:pPr>
            <w:r w:rsidRPr="00274970">
              <w:rPr>
                <w:color w:val="00B050"/>
              </w:rPr>
              <w:t>Comprehensive documentation available on the Airflow monthly complaints process</w:t>
            </w:r>
          </w:p>
          <w:p w:rsidR="00274970" w:rsidRDefault="00274970" w:rsidP="00274970"/>
          <w:p w:rsidR="00274970" w:rsidRPr="00DA408A" w:rsidRDefault="00274970" w:rsidP="00274970">
            <w:pPr>
              <w:pStyle w:val="ListParagraph"/>
              <w:numPr>
                <w:ilvl w:val="0"/>
                <w:numId w:val="26"/>
              </w:numPr>
              <w:rPr>
                <w:color w:val="00B050"/>
              </w:rPr>
            </w:pPr>
            <w:hyperlink r:id="rId8" w:history="1">
              <w:r w:rsidRPr="00274970">
                <w:rPr>
                  <w:rStyle w:val="sc-faizp"/>
                  <w:rFonts w:ascii="Segoe UI" w:hAnsi="Segoe UI" w:cs="Segoe UI"/>
                  <w:color w:val="0052CC"/>
                  <w:spacing w:val="-1"/>
                  <w:sz w:val="21"/>
                  <w:szCs w:val="21"/>
                  <w:shd w:val="clear" w:color="auto" w:fill="FFFFFF"/>
                </w:rPr>
                <w:t>cm_rfi (Complaints, DNO, Xoserve, Switching): Running Pipelines</w:t>
              </w:r>
            </w:hyperlink>
            <w:r w:rsidRPr="00274970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DA408A">
              <w:rPr>
                <w:rFonts w:ascii="Segoe UI" w:hAnsi="Segoe UI" w:cs="Segoe UI"/>
                <w:color w:val="00B050"/>
                <w:spacing w:val="-1"/>
                <w:sz w:val="21"/>
                <w:szCs w:val="21"/>
                <w:shd w:val="clear" w:color="auto" w:fill="FFFFFF"/>
              </w:rPr>
              <w:t>– including linked pages for Qlik etc</w:t>
            </w:r>
          </w:p>
          <w:p w:rsidR="00274970" w:rsidRPr="00274970" w:rsidRDefault="00274970" w:rsidP="007A4DD7">
            <w:pPr>
              <w:pStyle w:val="ListParagraph"/>
              <w:numPr>
                <w:ilvl w:val="0"/>
                <w:numId w:val="26"/>
              </w:numPr>
            </w:pPr>
            <w:hyperlink r:id="rId9" w:history="1">
              <w:r w:rsidRPr="00274970">
                <w:rPr>
                  <w:rStyle w:val="sc-faizp"/>
                  <w:rFonts w:ascii="Segoe UI" w:hAnsi="Segoe UI" w:cs="Segoe UI"/>
                  <w:color w:val="0052CC"/>
                  <w:spacing w:val="-1"/>
                  <w:sz w:val="21"/>
                  <w:szCs w:val="21"/>
                  <w:shd w:val="clear" w:color="auto" w:fill="FFFFFF"/>
                </w:rPr>
                <w:t>Retail Reference: Running Airflow Pipelines</w:t>
              </w:r>
            </w:hyperlink>
            <w:r w:rsidRPr="00274970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274970" w:rsidRPr="00274970" w:rsidRDefault="00274970" w:rsidP="007A4DD7">
            <w:pPr>
              <w:pStyle w:val="ListParagraph"/>
              <w:numPr>
                <w:ilvl w:val="0"/>
                <w:numId w:val="26"/>
              </w:numPr>
            </w:pPr>
            <w:hyperlink r:id="rId10" w:history="1">
              <w:r w:rsidRPr="00274970">
                <w:rPr>
                  <w:rStyle w:val="sc-faizp"/>
                  <w:rFonts w:ascii="Segoe UI" w:hAnsi="Segoe UI" w:cs="Segoe UI"/>
                  <w:color w:val="0052CC"/>
                  <w:spacing w:val="-1"/>
                  <w:sz w:val="21"/>
                  <w:szCs w:val="21"/>
                  <w:shd w:val="clear" w:color="auto" w:fill="FFFFFF"/>
                </w:rPr>
                <w:t>Business &amp; Gather File Locations and Database Tables</w:t>
              </w:r>
            </w:hyperlink>
            <w:r w:rsidRPr="00274970"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</w:p>
          <w:p w:rsidR="00274970" w:rsidRDefault="00274970" w:rsidP="00274970">
            <w:pPr>
              <w:pStyle w:val="ListParagraph"/>
              <w:numPr>
                <w:ilvl w:val="0"/>
                <w:numId w:val="26"/>
              </w:numPr>
            </w:pPr>
            <w:hyperlink r:id="rId11" w:history="1">
              <w:r>
                <w:rPr>
                  <w:rStyle w:val="Hyperlink"/>
                </w:rPr>
                <w:t>Complaints Domestic Monthly Running Airflow Pipeline</w:t>
              </w:r>
            </w:hyperlink>
          </w:p>
          <w:p w:rsidR="00274970" w:rsidRPr="00274970" w:rsidRDefault="00274970" w:rsidP="00274970">
            <w:pPr>
              <w:pStyle w:val="ListParagraph"/>
              <w:numPr>
                <w:ilvl w:val="0"/>
                <w:numId w:val="26"/>
              </w:numPr>
              <w:rPr>
                <w:rStyle w:val="loader-wrapper"/>
              </w:rPr>
            </w:pPr>
            <w:hyperlink r:id="rId12" w:history="1">
              <w:r>
                <w:rPr>
                  <w:rStyle w:val="Hyperlink"/>
                </w:rPr>
                <w:t>STAF-646 End to End Domestic Complaints Test Scenarios</w:t>
              </w:r>
            </w:hyperlink>
          </w:p>
          <w:p w:rsidR="00274970" w:rsidRDefault="00274970" w:rsidP="00274970">
            <w:pPr>
              <w:pStyle w:val="ListParagraph"/>
              <w:numPr>
                <w:ilvl w:val="0"/>
                <w:numId w:val="26"/>
              </w:numPr>
            </w:pPr>
            <w:hyperlink r:id="rId13" w:history="1">
              <w:r>
                <w:rPr>
                  <w:rStyle w:val="Hyperlink"/>
                </w:rPr>
                <w:t>STAF 646 Post Mortem</w:t>
              </w:r>
            </w:hyperlink>
          </w:p>
          <w:p w:rsidR="00B41E79" w:rsidRPr="00B41E79" w:rsidRDefault="00B41E79" w:rsidP="00274970">
            <w:pPr>
              <w:pStyle w:val="ListParagraph"/>
              <w:numPr>
                <w:ilvl w:val="0"/>
                <w:numId w:val="26"/>
              </w:numPr>
              <w:rPr>
                <w:color w:val="00B050"/>
              </w:rPr>
            </w:pPr>
            <w:r w:rsidRPr="00B41E79">
              <w:rPr>
                <w:color w:val="00B050"/>
              </w:rPr>
              <w:t>Contribute to Monthly Domestic Complaints Design workshops</w:t>
            </w:r>
          </w:p>
          <w:p w:rsidR="00274970" w:rsidRPr="00A15809" w:rsidRDefault="00274970" w:rsidP="00274970"/>
        </w:tc>
      </w:tr>
      <w:tr w:rsidR="00D969BC" w:rsidTr="0053692E">
        <w:tc>
          <w:tcPr>
            <w:tcW w:w="2405" w:type="dxa"/>
            <w:shd w:val="clear" w:color="auto" w:fill="DEEAF6" w:themeFill="accent1" w:themeFillTint="33"/>
          </w:tcPr>
          <w:p w:rsidR="00D969BC" w:rsidRPr="003A7027" w:rsidRDefault="00D969BC" w:rsidP="0053692E">
            <w:pPr>
              <w:rPr>
                <w:b/>
              </w:rPr>
            </w:pPr>
            <w:r>
              <w:rPr>
                <w:b/>
              </w:rPr>
              <w:t>DS Community Objs</w:t>
            </w:r>
          </w:p>
        </w:tc>
        <w:tc>
          <w:tcPr>
            <w:tcW w:w="7789" w:type="dxa"/>
          </w:tcPr>
          <w:p w:rsidR="00752864" w:rsidRDefault="00752864" w:rsidP="0053692E">
            <w:r>
              <w:t>Provide validation and feedback of data submissions through Exchange</w:t>
            </w:r>
          </w:p>
          <w:p w:rsidR="00D969BC" w:rsidRDefault="00D969BC" w:rsidP="0053692E">
            <w:r>
              <w:t>Deliver supporting services that meet user needs</w:t>
            </w:r>
          </w:p>
        </w:tc>
      </w:tr>
      <w:tr w:rsidR="00D969BC" w:rsidTr="0053692E">
        <w:tc>
          <w:tcPr>
            <w:tcW w:w="2405" w:type="dxa"/>
            <w:shd w:val="clear" w:color="auto" w:fill="DEEAF6" w:themeFill="accent1" w:themeFillTint="33"/>
          </w:tcPr>
          <w:p w:rsidR="00D969BC" w:rsidRPr="003A7027" w:rsidRDefault="00D969BC" w:rsidP="0053692E">
            <w:pPr>
              <w:rPr>
                <w:b/>
              </w:rPr>
            </w:pPr>
            <w:r w:rsidRPr="003A7027">
              <w:rPr>
                <w:b/>
              </w:rPr>
              <w:t>Competencies</w:t>
            </w:r>
          </w:p>
        </w:tc>
        <w:tc>
          <w:tcPr>
            <w:tcW w:w="7789" w:type="dxa"/>
          </w:tcPr>
          <w:p w:rsidR="00D969BC" w:rsidRDefault="009C28AE" w:rsidP="009C28AE">
            <w:r>
              <w:t>Seeing the B</w:t>
            </w:r>
            <w:r w:rsidRPr="002B67F0">
              <w:t xml:space="preserve">ig </w:t>
            </w:r>
            <w:r>
              <w:t>P</w:t>
            </w:r>
            <w:r w:rsidRPr="002B67F0">
              <w:t xml:space="preserve">icture, </w:t>
            </w:r>
            <w:r>
              <w:t xml:space="preserve">Changing and Improving, </w:t>
            </w:r>
            <w:r w:rsidRPr="002B67F0">
              <w:t>Collaborating and Partnering</w:t>
            </w:r>
            <w:r>
              <w:t>, Building Capability for All</w:t>
            </w:r>
          </w:p>
        </w:tc>
      </w:tr>
      <w:tr w:rsidR="00D969BC" w:rsidTr="0053692E">
        <w:tc>
          <w:tcPr>
            <w:tcW w:w="2405" w:type="dxa"/>
            <w:shd w:val="clear" w:color="auto" w:fill="DEEAF6" w:themeFill="accent1" w:themeFillTint="33"/>
          </w:tcPr>
          <w:p w:rsidR="00D969BC" w:rsidRPr="003A7027" w:rsidRDefault="00D969BC" w:rsidP="0053692E">
            <w:pPr>
              <w:rPr>
                <w:b/>
              </w:rPr>
            </w:pPr>
            <w:r w:rsidRPr="003A7027">
              <w:rPr>
                <w:b/>
              </w:rPr>
              <w:t>Time-bound</w:t>
            </w:r>
          </w:p>
        </w:tc>
        <w:tc>
          <w:tcPr>
            <w:tcW w:w="7789" w:type="dxa"/>
          </w:tcPr>
          <w:p w:rsidR="00D969BC" w:rsidRDefault="00D969BC" w:rsidP="0053692E">
            <w:r>
              <w:t xml:space="preserve">Ongoing </w:t>
            </w:r>
          </w:p>
        </w:tc>
      </w:tr>
      <w:tr w:rsidR="00D969BC" w:rsidTr="0053692E">
        <w:tc>
          <w:tcPr>
            <w:tcW w:w="2405" w:type="dxa"/>
            <w:shd w:val="clear" w:color="auto" w:fill="DEEAF6" w:themeFill="accent1" w:themeFillTint="33"/>
          </w:tcPr>
          <w:p w:rsidR="00D969BC" w:rsidRPr="003A7027" w:rsidRDefault="00D969BC" w:rsidP="0053692E">
            <w:pPr>
              <w:rPr>
                <w:b/>
              </w:rPr>
            </w:pPr>
            <w:r>
              <w:rPr>
                <w:b/>
              </w:rPr>
              <w:t>Completed</w:t>
            </w:r>
          </w:p>
        </w:tc>
        <w:tc>
          <w:tcPr>
            <w:tcW w:w="7789" w:type="dxa"/>
          </w:tcPr>
          <w:p w:rsidR="00D969BC" w:rsidRDefault="00D969BC" w:rsidP="0053692E"/>
        </w:tc>
      </w:tr>
    </w:tbl>
    <w:p w:rsidR="00D969BC" w:rsidRDefault="00D969BC" w:rsidP="00B961B0">
      <w:pPr>
        <w:rPr>
          <w:b/>
        </w:rPr>
      </w:pPr>
    </w:p>
    <w:p w:rsidR="008C63EA" w:rsidRDefault="008C63EA" w:rsidP="00B961B0">
      <w:pPr>
        <w:rPr>
          <w:b/>
        </w:rPr>
      </w:pPr>
    </w:p>
    <w:p w:rsidR="008C63EA" w:rsidRDefault="008C63EA" w:rsidP="00B961B0">
      <w:pPr>
        <w:rPr>
          <w:b/>
        </w:rPr>
      </w:pPr>
      <w:r>
        <w:rPr>
          <w:b/>
        </w:rPr>
        <w:t>Personal Development</w:t>
      </w:r>
    </w:p>
    <w:p w:rsidR="008C63EA" w:rsidRDefault="008C63EA" w:rsidP="00B961B0">
      <w:pPr>
        <w:rPr>
          <w:b/>
        </w:rPr>
      </w:pPr>
    </w:p>
    <w:p w:rsidR="008C63EA" w:rsidRDefault="008C63EA" w:rsidP="008C63EA">
      <w:pPr>
        <w:pStyle w:val="ListParagraph"/>
        <w:numPr>
          <w:ilvl w:val="0"/>
          <w:numId w:val="25"/>
        </w:numPr>
      </w:pPr>
      <w:r w:rsidRPr="008C63EA">
        <w:t xml:space="preserve">Make time </w:t>
      </w:r>
      <w:r>
        <w:t>to explore PluralSight and Gartner offerings</w:t>
      </w:r>
    </w:p>
    <w:p w:rsidR="008C63EA" w:rsidRDefault="008C63EA" w:rsidP="008C63EA">
      <w:pPr>
        <w:pStyle w:val="ListParagraph"/>
        <w:numPr>
          <w:ilvl w:val="0"/>
          <w:numId w:val="25"/>
        </w:numPr>
      </w:pPr>
      <w:r>
        <w:t>Setup timetable to prioritise learning within the working day</w:t>
      </w:r>
    </w:p>
    <w:p w:rsidR="008C63EA" w:rsidRDefault="008C63EA" w:rsidP="008C63EA">
      <w:pPr>
        <w:pStyle w:val="ListParagraph"/>
        <w:numPr>
          <w:ilvl w:val="0"/>
          <w:numId w:val="25"/>
        </w:numPr>
      </w:pPr>
      <w:r>
        <w:t>Specific learning goals</w:t>
      </w:r>
    </w:p>
    <w:p w:rsidR="008C63EA" w:rsidRDefault="008C63EA" w:rsidP="008C63EA">
      <w:pPr>
        <w:pStyle w:val="ListParagraph"/>
        <w:numPr>
          <w:ilvl w:val="1"/>
          <w:numId w:val="25"/>
        </w:numPr>
      </w:pPr>
      <w:r>
        <w:t>Develop python skills</w:t>
      </w:r>
    </w:p>
    <w:p w:rsidR="008C63EA" w:rsidRDefault="008C63EA" w:rsidP="008C63EA">
      <w:pPr>
        <w:pStyle w:val="ListParagraph"/>
        <w:numPr>
          <w:ilvl w:val="1"/>
          <w:numId w:val="25"/>
        </w:numPr>
      </w:pPr>
      <w:r>
        <w:t>Develop understanding &amp; skills in BI in particular PowerBI if moving there</w:t>
      </w:r>
    </w:p>
    <w:p w:rsidR="008C63EA" w:rsidRPr="0053554E" w:rsidRDefault="008C63EA" w:rsidP="008C63EA">
      <w:pPr>
        <w:pStyle w:val="ListParagraph"/>
        <w:numPr>
          <w:ilvl w:val="0"/>
          <w:numId w:val="25"/>
        </w:numPr>
        <w:rPr>
          <w:color w:val="00B050"/>
        </w:rPr>
      </w:pPr>
      <w:r w:rsidRPr="0053554E">
        <w:rPr>
          <w:color w:val="00B050"/>
        </w:rPr>
        <w:t>Economics for Non-Economists course 15&amp;16 July 2020</w:t>
      </w:r>
      <w:r w:rsidR="00E72CFD" w:rsidRPr="0053554E">
        <w:rPr>
          <w:color w:val="00B050"/>
        </w:rPr>
        <w:t xml:space="preserve"> </w:t>
      </w:r>
      <w:r w:rsidR="0053554E" w:rsidRPr="0053554E">
        <w:rPr>
          <w:color w:val="00B050"/>
        </w:rPr>
        <w:t xml:space="preserve"> </w:t>
      </w:r>
    </w:p>
    <w:p w:rsidR="008C63EA" w:rsidRPr="008C63EA" w:rsidRDefault="008C63EA" w:rsidP="00B961B0">
      <w:r>
        <w:t xml:space="preserve"> </w:t>
      </w:r>
    </w:p>
    <w:sectPr w:rsidR="008C63EA" w:rsidRPr="008C63EA" w:rsidSect="007742B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027" w:rsidRDefault="003A7027" w:rsidP="003A7027">
      <w:r>
        <w:separator/>
      </w:r>
    </w:p>
  </w:endnote>
  <w:endnote w:type="continuationSeparator" w:id="0">
    <w:p w:rsidR="003A7027" w:rsidRDefault="003A7027" w:rsidP="003A7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27" w:rsidRPr="00DA408A" w:rsidRDefault="00DA408A" w:rsidP="00DA408A">
    <w:pPr>
      <w:pStyle w:val="Footer"/>
      <w:jc w:val="center"/>
    </w:pPr>
    <w:fldSimple w:instr=" DOCPROPERTY bjFooterEvenPageDocProperty \* MERGEFORMAT " w:fldLock="1">
      <w:r w:rsidRPr="00DA408A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27" w:rsidRPr="00DA408A" w:rsidRDefault="00DA408A" w:rsidP="00DA408A">
    <w:pPr>
      <w:pStyle w:val="Footer"/>
      <w:jc w:val="center"/>
    </w:pPr>
    <w:fldSimple w:instr=" DOCPROPERTY bjFooterBothDocProperty \* MERGEFORMAT " w:fldLock="1">
      <w:r w:rsidRPr="00DA408A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27" w:rsidRPr="00DA408A" w:rsidRDefault="00DA408A" w:rsidP="00DA408A">
    <w:pPr>
      <w:pStyle w:val="Footer"/>
      <w:jc w:val="center"/>
    </w:pPr>
    <w:fldSimple w:instr=" DOCPROPERTY bjFooterFirstPageDocProperty \* MERGEFORMAT " w:fldLock="1">
      <w:r w:rsidRPr="00DA408A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027" w:rsidRDefault="003A7027" w:rsidP="003A7027">
      <w:r>
        <w:separator/>
      </w:r>
    </w:p>
  </w:footnote>
  <w:footnote w:type="continuationSeparator" w:id="0">
    <w:p w:rsidR="003A7027" w:rsidRDefault="003A7027" w:rsidP="003A7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27" w:rsidRPr="00DA408A" w:rsidRDefault="00DA408A" w:rsidP="00DA408A">
    <w:pPr>
      <w:pStyle w:val="Header"/>
      <w:jc w:val="center"/>
    </w:pPr>
    <w:fldSimple w:instr=" DOCPROPERTY bjHeaderEvenPageDocProperty \* MERGEFORMAT " w:fldLock="1">
      <w:r w:rsidRPr="00DA408A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27" w:rsidRPr="00DA408A" w:rsidRDefault="00DA408A" w:rsidP="00DA408A">
    <w:pPr>
      <w:pStyle w:val="Header"/>
      <w:jc w:val="center"/>
    </w:pPr>
    <w:fldSimple w:instr=" DOCPROPERTY bjHeaderBothDocProperty \* MERGEFORMAT " w:fldLock="1">
      <w:r w:rsidRPr="00DA408A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027" w:rsidRPr="00DA408A" w:rsidRDefault="00DA408A" w:rsidP="00DA408A">
    <w:pPr>
      <w:pStyle w:val="Header"/>
      <w:jc w:val="center"/>
    </w:pPr>
    <w:fldSimple w:instr=" DOCPROPERTY bjHeaderFirstPageDocProperty \* MERGEFORMAT " w:fldLock="1">
      <w:r w:rsidRPr="00DA408A">
        <w:rPr>
          <w:rFonts w:ascii="Verdana" w:hAnsi="Verdana"/>
          <w:color w:val="000000"/>
          <w:sz w:val="20"/>
        </w:rPr>
        <w:t>Internal Only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9F7"/>
    <w:multiLevelType w:val="hybridMultilevel"/>
    <w:tmpl w:val="CE841B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7C7F"/>
    <w:multiLevelType w:val="hybridMultilevel"/>
    <w:tmpl w:val="E2043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0A91"/>
    <w:multiLevelType w:val="hybridMultilevel"/>
    <w:tmpl w:val="F738D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26B5"/>
    <w:multiLevelType w:val="hybridMultilevel"/>
    <w:tmpl w:val="5FE0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E27C8"/>
    <w:multiLevelType w:val="hybridMultilevel"/>
    <w:tmpl w:val="AB322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3251"/>
    <w:multiLevelType w:val="hybridMultilevel"/>
    <w:tmpl w:val="162AB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21FE6"/>
    <w:multiLevelType w:val="multilevel"/>
    <w:tmpl w:val="C9E2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57408"/>
    <w:multiLevelType w:val="hybridMultilevel"/>
    <w:tmpl w:val="6E58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8117B"/>
    <w:multiLevelType w:val="hybridMultilevel"/>
    <w:tmpl w:val="86EA2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662AD"/>
    <w:multiLevelType w:val="hybridMultilevel"/>
    <w:tmpl w:val="AC9A0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B6726"/>
    <w:multiLevelType w:val="hybridMultilevel"/>
    <w:tmpl w:val="778C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B73D7"/>
    <w:multiLevelType w:val="hybridMultilevel"/>
    <w:tmpl w:val="C1EAE7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D3648B"/>
    <w:multiLevelType w:val="hybridMultilevel"/>
    <w:tmpl w:val="DFDE0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2323B"/>
    <w:multiLevelType w:val="hybridMultilevel"/>
    <w:tmpl w:val="8EC24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94D1F"/>
    <w:multiLevelType w:val="hybridMultilevel"/>
    <w:tmpl w:val="E1286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F75661"/>
    <w:multiLevelType w:val="hybridMultilevel"/>
    <w:tmpl w:val="07DA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DC6470"/>
    <w:multiLevelType w:val="hybridMultilevel"/>
    <w:tmpl w:val="E826B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60911"/>
    <w:multiLevelType w:val="hybridMultilevel"/>
    <w:tmpl w:val="07CC70A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D0756D"/>
    <w:multiLevelType w:val="hybridMultilevel"/>
    <w:tmpl w:val="2FC4F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92C71"/>
    <w:multiLevelType w:val="hybridMultilevel"/>
    <w:tmpl w:val="6F967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32666"/>
    <w:multiLevelType w:val="hybridMultilevel"/>
    <w:tmpl w:val="B9D4A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46DC2"/>
    <w:multiLevelType w:val="hybridMultilevel"/>
    <w:tmpl w:val="031EC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A78F5"/>
    <w:multiLevelType w:val="hybridMultilevel"/>
    <w:tmpl w:val="371EC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630B1"/>
    <w:multiLevelType w:val="hybridMultilevel"/>
    <w:tmpl w:val="58E2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821FC9"/>
    <w:multiLevelType w:val="hybridMultilevel"/>
    <w:tmpl w:val="16A653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E0449"/>
    <w:multiLevelType w:val="hybridMultilevel"/>
    <w:tmpl w:val="480E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2"/>
  </w:num>
  <w:num w:numId="4">
    <w:abstractNumId w:val="2"/>
  </w:num>
  <w:num w:numId="5">
    <w:abstractNumId w:val="25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18"/>
  </w:num>
  <w:num w:numId="13">
    <w:abstractNumId w:val="13"/>
  </w:num>
  <w:num w:numId="14">
    <w:abstractNumId w:val="23"/>
  </w:num>
  <w:num w:numId="15">
    <w:abstractNumId w:val="11"/>
  </w:num>
  <w:num w:numId="16">
    <w:abstractNumId w:val="22"/>
  </w:num>
  <w:num w:numId="17">
    <w:abstractNumId w:val="19"/>
  </w:num>
  <w:num w:numId="18">
    <w:abstractNumId w:val="20"/>
  </w:num>
  <w:num w:numId="19">
    <w:abstractNumId w:val="6"/>
  </w:num>
  <w:num w:numId="20">
    <w:abstractNumId w:val="10"/>
  </w:num>
  <w:num w:numId="21">
    <w:abstractNumId w:val="14"/>
  </w:num>
  <w:num w:numId="22">
    <w:abstractNumId w:val="15"/>
  </w:num>
  <w:num w:numId="23">
    <w:abstractNumId w:val="0"/>
  </w:num>
  <w:num w:numId="24">
    <w:abstractNumId w:val="24"/>
  </w:num>
  <w:num w:numId="25">
    <w:abstractNumId w:val="1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27"/>
    <w:rsid w:val="00034BDC"/>
    <w:rsid w:val="00091F49"/>
    <w:rsid w:val="000952AA"/>
    <w:rsid w:val="00184772"/>
    <w:rsid w:val="001A2EF0"/>
    <w:rsid w:val="0020193A"/>
    <w:rsid w:val="0021661F"/>
    <w:rsid w:val="00260C5A"/>
    <w:rsid w:val="0026450E"/>
    <w:rsid w:val="00274970"/>
    <w:rsid w:val="002A1DC9"/>
    <w:rsid w:val="002B67F0"/>
    <w:rsid w:val="002C0646"/>
    <w:rsid w:val="002F5665"/>
    <w:rsid w:val="00300774"/>
    <w:rsid w:val="00307CAF"/>
    <w:rsid w:val="0031162E"/>
    <w:rsid w:val="00337583"/>
    <w:rsid w:val="003519B4"/>
    <w:rsid w:val="003A7027"/>
    <w:rsid w:val="003F3F67"/>
    <w:rsid w:val="0041544E"/>
    <w:rsid w:val="00460016"/>
    <w:rsid w:val="004619FF"/>
    <w:rsid w:val="00475845"/>
    <w:rsid w:val="004B3876"/>
    <w:rsid w:val="004C625D"/>
    <w:rsid w:val="004F0507"/>
    <w:rsid w:val="00526DBF"/>
    <w:rsid w:val="0053554E"/>
    <w:rsid w:val="00541774"/>
    <w:rsid w:val="005D5021"/>
    <w:rsid w:val="005E2632"/>
    <w:rsid w:val="00645D9F"/>
    <w:rsid w:val="006660EA"/>
    <w:rsid w:val="00677582"/>
    <w:rsid w:val="00696CE3"/>
    <w:rsid w:val="006C22ED"/>
    <w:rsid w:val="00734F3E"/>
    <w:rsid w:val="00752864"/>
    <w:rsid w:val="007742B3"/>
    <w:rsid w:val="007A2542"/>
    <w:rsid w:val="007C261C"/>
    <w:rsid w:val="007C578E"/>
    <w:rsid w:val="007E4031"/>
    <w:rsid w:val="00810482"/>
    <w:rsid w:val="008449DF"/>
    <w:rsid w:val="008532D4"/>
    <w:rsid w:val="00857C7B"/>
    <w:rsid w:val="008644F4"/>
    <w:rsid w:val="008941FD"/>
    <w:rsid w:val="008B4B04"/>
    <w:rsid w:val="008C63EA"/>
    <w:rsid w:val="008D4621"/>
    <w:rsid w:val="009548EC"/>
    <w:rsid w:val="009916FC"/>
    <w:rsid w:val="009C28AE"/>
    <w:rsid w:val="00A15809"/>
    <w:rsid w:val="00A32BFD"/>
    <w:rsid w:val="00AC6B3D"/>
    <w:rsid w:val="00AD79EB"/>
    <w:rsid w:val="00AF0B1F"/>
    <w:rsid w:val="00B32B01"/>
    <w:rsid w:val="00B4199B"/>
    <w:rsid w:val="00B41E79"/>
    <w:rsid w:val="00B961B0"/>
    <w:rsid w:val="00BC2BB0"/>
    <w:rsid w:val="00C1152E"/>
    <w:rsid w:val="00D53F83"/>
    <w:rsid w:val="00D7425C"/>
    <w:rsid w:val="00D969BC"/>
    <w:rsid w:val="00DA408A"/>
    <w:rsid w:val="00DC434A"/>
    <w:rsid w:val="00E15D71"/>
    <w:rsid w:val="00E4052A"/>
    <w:rsid w:val="00E72CFD"/>
    <w:rsid w:val="00EA130A"/>
    <w:rsid w:val="00EA35A1"/>
    <w:rsid w:val="00EB272A"/>
    <w:rsid w:val="00ED6853"/>
    <w:rsid w:val="00F00960"/>
    <w:rsid w:val="00FA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93FC6"/>
  <w15:chartTrackingRefBased/>
  <w15:docId w15:val="{FAD08A2F-3392-4EA0-83B3-784FB5E9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0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0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027"/>
  </w:style>
  <w:style w:type="paragraph" w:styleId="Footer">
    <w:name w:val="footer"/>
    <w:basedOn w:val="Normal"/>
    <w:link w:val="FooterChar"/>
    <w:uiPriority w:val="99"/>
    <w:unhideWhenUsed/>
    <w:rsid w:val="003A70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027"/>
  </w:style>
  <w:style w:type="table" w:styleId="TableGrid">
    <w:name w:val="Table Grid"/>
    <w:basedOn w:val="TableNormal"/>
    <w:uiPriority w:val="39"/>
    <w:rsid w:val="003A7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A7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0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7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742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742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0016"/>
    <w:rPr>
      <w:color w:val="0000FF"/>
      <w:u w:val="single"/>
    </w:rPr>
  </w:style>
  <w:style w:type="character" w:customStyle="1" w:styleId="loader-wrapper">
    <w:name w:val="loader-wrapper"/>
    <w:basedOn w:val="DefaultParagraphFont"/>
    <w:rsid w:val="00274970"/>
  </w:style>
  <w:style w:type="character" w:customStyle="1" w:styleId="sc-faizp">
    <w:name w:val="sc-faizp"/>
    <w:basedOn w:val="DefaultParagraphFont"/>
    <w:rsid w:val="0027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fgemsousd.atlassian.net/wiki/spaces/ODS/pages/1257242996/cm+rfi+Complaints+DNO+Xoserve+Switching+Running+Pipelines" TargetMode="External"/><Relationship Id="rId13" Type="http://schemas.openxmlformats.org/officeDocument/2006/relationships/hyperlink" Target="https://ofgemsousd.atlassian.net/wiki/spaces/ODS/pages/1846607873/STAF-646+Post+Morte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fgemsousd.atlassian.net/wiki/spaces/ODS/pages/1797292456/STAF-646+End+to+End+Domestic+Complaints+Test+Scenario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fgemsousd.atlassian.net/wiki/spaces/ODS/pages/1832715206/Complaints+Domestic+Monthly+Running+Airflow+Pipelin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ofgemsousd.atlassian.net/wiki/spaces/RET/pages/1666318399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ofgemsousd.atlassian.net/wiki/spaces/ODS/pages/1655668822/Retail+Reference%3A+Running+Airflow+Pipelin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761B47F8-6D93-4819-853B-D786A37F9BD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887</Words>
  <Characters>5137</Characters>
  <Application>Microsoft Office Word</Application>
  <DocSecurity>0</DocSecurity>
  <Lines>142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Johnston</dc:creator>
  <cp:keywords/>
  <dc:description/>
  <cp:lastModifiedBy>Liz Johnston</cp:lastModifiedBy>
  <cp:revision>42</cp:revision>
  <dcterms:created xsi:type="dcterms:W3CDTF">2019-03-26T11:00:00Z</dcterms:created>
  <dcterms:modified xsi:type="dcterms:W3CDTF">2020-07-24T10:23:00Z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f82f2a8f-5572-4db0-abda-4efc9211a6c6</vt:lpwstr>
  </property>
  <property fmtid="{D5CDD505-2E9C-101B-9397-08002B2CF9AE}" pid="3" name="bjSaver">
    <vt:lpwstr>4obk4rgoX2BkxXAP0hipQT/JVGXXSGGd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