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stlname="table_template" w:val="tabletemplate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c("N", "Donne (N, %)", "Età (media, ds)", "Classe di età (N,%)", </w:t>
            </w:r>
          </w:p>
        </w:tc>
        <w:tc>
          <w:p>
            <w:pPr>
              <w:pStyle w:stlname="Normal" w:val="Normal"/>
            </w:pPr>
            <w:r>
              <w:t>No antidoto, prima delle restrizioni Covid</w:t>
            </w:r>
          </w:p>
        </w:tc>
        <w:tc>
          <w:p>
            <w:pPr>
              <w:pStyle w:stlname="Normal" w:val="Normal"/>
            </w:pPr>
            <w:r>
              <w:t>No antidoto, durante le restrizioni Covid</w:t>
            </w:r>
          </w:p>
        </w:tc>
        <w:tc>
          <w:p>
            <w:pPr>
              <w:pStyle w:stlname="Normal" w:val="Normal"/>
            </w:pPr>
            <w:r>
              <w:t>No antidoto, dopo le restrizioni Covid</w:t>
            </w:r>
          </w:p>
        </w:tc>
        <w:tc>
          <w:p>
            <w:pPr>
              <w:pStyle w:stlname="Normal" w:val="Normal"/>
            </w:pPr>
            <w:r>
              <w:t>Antidoto disponibile, prima delle linee guida</w:t>
            </w:r>
          </w:p>
        </w:tc>
        <w:tc>
          <w:p>
            <w:pPr>
              <w:pStyle w:stlname="Normal" w:val="Normal"/>
            </w:pPr>
            <w:r>
              <w:t>Antidoto disponibile, dopo le linee guida</w:t>
            </w:r>
          </w:p>
        </w:tc>
      </w:tr>
      <w:tr>
        <w:tc>
          <w:p>
            <w:pPr>
              <w:pStyle w:stlname="Normal" w:val="Normal"/>
            </w:pPr>
            <w:r>
              <w:t>N</w:t>
            </w:r>
          </w:p>
        </w:tc>
        <w:tc>
          <w:p>
            <w:pPr>
              <w:pStyle w:stlname="Normal" w:val="Normal"/>
            </w:pPr>
            <w:r>
              <w:t>449</w:t>
            </w:r>
          </w:p>
        </w:tc>
        <w:tc>
          <w:p>
            <w:pPr>
              <w:pStyle w:stlname="Normal" w:val="Normal"/>
            </w:pPr>
            <w:r>
              <w:t>264</w:t>
            </w:r>
          </w:p>
        </w:tc>
        <w:tc>
          <w:p>
            <w:pPr>
              <w:pStyle w:stlname="Normal" w:val="Normal"/>
            </w:pPr>
            <w:r>
              <w:t>76</w:t>
            </w:r>
          </w:p>
        </w:tc>
        <w:tc>
          <w:p>
            <w:pPr>
              <w:pStyle w:stlname="Normal" w:val="Normal"/>
            </w:pPr>
            <w:r>
              <w:t>471</w:t>
            </w:r>
          </w:p>
        </w:tc>
        <w:tc>
          <w:p>
            <w:pPr>
              <w:pStyle w:stlname="Normal" w:val="Normal"/>
            </w:pPr>
            <w:r>
              <w:t>106</w:t>
            </w:r>
          </w:p>
        </w:tc>
      </w:tr>
      <w:tr>
        <w:tc>
          <w:p>
            <w:pPr>
              <w:pStyle w:stlname="Normal" w:val="Normal"/>
            </w:pPr>
            <w:r>
              <w:t>Donne (N, %)</w:t>
            </w:r>
          </w:p>
        </w:tc>
        <w:tc>
          <w:p>
            <w:pPr>
              <w:pStyle w:stlname="Normal" w:val="Normal"/>
            </w:pPr>
            <w:r>
              <w:t>210 (46.8%)</w:t>
            </w:r>
          </w:p>
        </w:tc>
        <w:tc>
          <w:p>
            <w:pPr>
              <w:pStyle w:stlname="Normal" w:val="Normal"/>
            </w:pPr>
            <w:r>
              <w:t>118 (44.7%)</w:t>
            </w:r>
          </w:p>
        </w:tc>
        <w:tc>
          <w:p>
            <w:pPr>
              <w:pStyle w:stlname="Normal" w:val="Normal"/>
            </w:pPr>
            <w:r>
              <w:t>36 (47.4%)</w:t>
            </w:r>
          </w:p>
        </w:tc>
        <w:tc>
          <w:p>
            <w:pPr>
              <w:pStyle w:stlname="Normal" w:val="Normal"/>
            </w:pPr>
            <w:r>
              <w:t>211 (44.8%)</w:t>
            </w:r>
          </w:p>
        </w:tc>
        <w:tc>
          <w:p>
            <w:pPr>
              <w:pStyle w:stlname="Normal" w:val="Normal"/>
            </w:pPr>
            <w:r>
              <w:t>48 (45.3%)</w:t>
            </w:r>
          </w:p>
        </w:tc>
      </w:tr>
      <w:tr>
        <w:tc>
          <w:p>
            <w:pPr>
              <w:pStyle w:stlname="Normal" w:val="Normal"/>
            </w:pPr>
            <w:r>
              <w:t>Età (media, ds)</w:t>
            </w:r>
          </w:p>
        </w:tc>
        <w:tc>
          <w:p>
            <w:pPr>
              <w:pStyle w:stlname="Normal" w:val="Normal"/>
            </w:pPr>
            <w:r>
              <w:t>81.4 (8.6)</w:t>
            </w:r>
          </w:p>
        </w:tc>
        <w:tc>
          <w:p>
            <w:pPr>
              <w:pStyle w:stlname="Normal" w:val="Normal"/>
            </w:pPr>
            <w:r>
              <w:t>80.6 (9.2)</w:t>
            </w:r>
          </w:p>
        </w:tc>
        <w:tc>
          <w:p>
            <w:pPr>
              <w:pStyle w:stlname="Normal" w:val="Normal"/>
            </w:pPr>
            <w:r>
              <w:t>79.8 (9.6)</w:t>
            </w:r>
          </w:p>
        </w:tc>
        <w:tc>
          <w:p>
            <w:pPr>
              <w:pStyle w:stlname="Normal" w:val="Normal"/>
            </w:pPr>
            <w:r>
              <w:t>81 (8.6)</w:t>
            </w:r>
          </w:p>
        </w:tc>
        <w:tc>
          <w:p>
            <w:pPr>
              <w:pStyle w:stlname="Normal" w:val="Normal"/>
            </w:pPr>
            <w:r>
              <w:t>81.5 (8)</w:t>
            </w:r>
          </w:p>
        </w:tc>
      </w:tr>
      <w:tr>
        <w:tc>
          <w:p>
            <w:pPr>
              <w:pStyle w:stlname="Normal" w:val="Normal"/>
            </w:pPr>
            <w:r>
              <w:t>Classe di età (N,%)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0-17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18-39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2 (0.8%)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40-49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  <w:tc>
          <w:p>
            <w:pPr>
              <w:pStyle w:stlname="Normal" w:val="Normal"/>
            </w:pPr>
            <w:r>
              <w:t>0 (0%)</w:t>
            </w:r>
          </w:p>
        </w:tc>
      </w:tr>
      <w:tr>
        <w:tc>
          <w:p>
            <w:pPr>
              <w:pStyle w:stlname="Normal" w:val="Normal"/>
            </w:pPr>
            <w:r>
              <w:t>60-79</w:t>
            </w:r>
          </w:p>
        </w:tc>
        <w:tc>
          <w:p>
            <w:pPr>
              <w:pStyle w:stlname="Normal" w:val="Normal"/>
            </w:pPr>
            <w:r>
              <w:t>146 (32.5%)</w:t>
            </w:r>
          </w:p>
        </w:tc>
        <w:tc>
          <w:p>
            <w:pPr>
              <w:pStyle w:stlname="Normal" w:val="Normal"/>
            </w:pPr>
            <w:r>
              <w:t>88 (33.3%)</w:t>
            </w:r>
          </w:p>
        </w:tc>
        <w:tc>
          <w:p>
            <w:pPr>
              <w:pStyle w:stlname="Normal" w:val="Normal"/>
            </w:pPr>
            <w:r>
              <w:t>29 (38.2%)</w:t>
            </w:r>
          </w:p>
        </w:tc>
        <w:tc>
          <w:p>
            <w:pPr>
              <w:pStyle w:stlname="Normal" w:val="Normal"/>
            </w:pPr>
            <w:r>
              <w:t>171 (36.3%)</w:t>
            </w:r>
          </w:p>
        </w:tc>
        <w:tc>
          <w:p>
            <w:pPr>
              <w:pStyle w:stlname="Normal" w:val="Normal"/>
            </w:pPr>
            <w:r>
              <w:t>36 (34%)</w:t>
            </w:r>
          </w:p>
        </w:tc>
      </w:tr>
      <w:tr>
        <w:tc>
          <w:p>
            <w:pPr>
              <w:pStyle w:stlname="Normal" w:val="Normal"/>
            </w:pPr>
            <w:r>
              <w:t>80+</w:t>
            </w:r>
          </w:p>
        </w:tc>
        <w:tc>
          <w:p>
            <w:pPr>
              <w:pStyle w:stlname="Normal" w:val="Normal"/>
            </w:pPr>
            <w:r>
              <w:t>292 (65%)</w:t>
            </w:r>
          </w:p>
        </w:tc>
        <w:tc>
          <w:p>
            <w:pPr>
              <w:pStyle w:stlname="Normal" w:val="Normal"/>
            </w:pPr>
            <w:r>
              <w:t>169 (64%)</w:t>
            </w:r>
          </w:p>
        </w:tc>
        <w:tc>
          <w:p>
            <w:pPr>
              <w:pStyle w:stlname="Normal" w:val="Normal"/>
            </w:pPr>
            <w:r>
              <w:t>45 (59.2%)</w:t>
            </w:r>
          </w:p>
        </w:tc>
        <w:tc>
          <w:p>
            <w:pPr>
              <w:pStyle w:stlname="Normal" w:val="Normal"/>
            </w:pPr>
            <w:r>
              <w:t>288 (61.1%)</w:t>
            </w:r>
          </w:p>
        </w:tc>
        <w:tc>
          <w:p>
            <w:pPr>
              <w:pStyle w:stlname="Normal" w:val="Normal"/>
            </w:pPr>
            <w:r>
              <w:t>69 (65.1%)</w:t>
            </w:r>
          </w:p>
        </w:tc>
      </w:tr>
      <w:tr>
        <w:tc>
          <w:p>
            <w:pPr>
              <w:pStyle w:stlname="Normal" w:val="Normal"/>
            </w:pPr>
            <w:r>
              <w:t>Range di date (min-max)</w:t>
            </w:r>
          </w:p>
        </w:tc>
        <w:tc>
          <w:p>
            <w:pPr>
              <w:pStyle w:stlname="Normal" w:val="Normal"/>
            </w:pPr>
            <w:r>
              <w:t>2018-01-01 - 2020-02-28</w:t>
            </w:r>
          </w:p>
        </w:tc>
        <w:tc>
          <w:p>
            <w:pPr>
              <w:pStyle w:stlname="Normal" w:val="Normal"/>
            </w:pPr>
            <w:r>
              <w:t>2020-03-06 - 2021-05-29</w:t>
            </w:r>
          </w:p>
        </w:tc>
        <w:tc>
          <w:p>
            <w:pPr>
              <w:pStyle w:stlname="Normal" w:val="Normal"/>
            </w:pPr>
            <w:r>
              <w:t>2021-06-04 - 2021-08-31</w:t>
            </w:r>
          </w:p>
        </w:tc>
        <w:tc>
          <w:p>
            <w:pPr>
              <w:pStyle w:stlname="Normal" w:val="Normal"/>
            </w:pPr>
            <w:r>
              <w:t>2021-09-02 - 2023-07-30</w:t>
            </w:r>
          </w:p>
        </w:tc>
        <w:tc>
          <w:p>
            <w:pPr>
              <w:pStyle w:stlname="Normal" w:val="Normal"/>
            </w:pPr>
            <w:r>
              <w:t>2023-08-01 - 2023-12-29</w:t>
            </w:r>
          </w:p>
        </w:tc>
      </w:tr>
      <w:tr>
        <w:tc>
          <w:p>
            <w:pPr>
              <w:pStyle w:stlname="Normal" w:val="Normal"/>
            </w:pPr>
            <w:r>
              <w:t>Numero di sanguinamenti nei 3 anni precedenti (N, %)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  <w:tc>
          <w:p>
            <w:pPr>
              <w:pStyle w:stlname="Normal" w:val="Normal"/>
            </w:pPr>
            <w:r>
              <w:t> </w:t>
            </w:r>
          </w:p>
        </w:tc>
      </w:tr>
      <w:tr>
        <w:tc>
          <w:p>
            <w:pPr>
              <w:pStyle w:stlname="Normal" w:val="Normal"/>
            </w:pPr>
            <w:r>
              <w:t>0</w:t>
            </w:r>
          </w:p>
        </w:tc>
        <w:tc>
          <w:p>
            <w:pPr>
              <w:pStyle w:stlname="Normal" w:val="Normal"/>
            </w:pPr>
            <w:r>
              <w:t>390 (86.9%)</w:t>
            </w:r>
          </w:p>
        </w:tc>
        <w:tc>
          <w:p>
            <w:pPr>
              <w:pStyle w:stlname="Normal" w:val="Normal"/>
            </w:pPr>
            <w:r>
              <w:t>232 (87.9%)</w:t>
            </w:r>
          </w:p>
        </w:tc>
        <w:tc>
          <w:p>
            <w:pPr>
              <w:pStyle w:stlname="Normal" w:val="Normal"/>
            </w:pPr>
            <w:r>
              <w:t>66 (86.8%)</w:t>
            </w:r>
          </w:p>
        </w:tc>
        <w:tc>
          <w:p>
            <w:pPr>
              <w:pStyle w:stlname="Normal" w:val="Normal"/>
            </w:pPr>
            <w:r>
              <w:t>390 (82.8%)</w:t>
            </w:r>
          </w:p>
        </w:tc>
        <w:tc>
          <w:p>
            <w:pPr>
              <w:pStyle w:stlname="Normal" w:val="Normal"/>
            </w:pPr>
            <w:r>
              <w:t>94 (88.7%)</w:t>
            </w:r>
          </w:p>
        </w:tc>
      </w:tr>
      <w:tr>
        <w:tc>
          <w:p>
            <w:pPr>
              <w:pStyle w:stlname="Normal" w:val="Normal"/>
            </w:pPr>
            <w:r>
              <w:t>1</w:t>
            </w:r>
          </w:p>
        </w:tc>
        <w:tc>
          <w:p>
            <w:pPr>
              <w:pStyle w:stlname="Normal" w:val="Normal"/>
            </w:pPr>
            <w:r>
              <w:t>53 (11.8%)</w:t>
            </w:r>
          </w:p>
        </w:tc>
        <w:tc>
          <w:p>
            <w:pPr>
              <w:pStyle w:stlname="Normal" w:val="Normal"/>
            </w:pPr>
            <w:r>
              <w:t>27 (10.2%)</w:t>
            </w:r>
          </w:p>
        </w:tc>
        <w:tc>
          <w:p>
            <w:pPr>
              <w:pStyle w:stlname="Normal" w:val="Normal"/>
            </w:pPr>
            <w:r>
              <w:t>8 (10.5%)</w:t>
            </w:r>
          </w:p>
        </w:tc>
        <w:tc>
          <w:p>
            <w:pPr>
              <w:pStyle w:stlname="Normal" w:val="Normal"/>
            </w:pPr>
            <w:r>
              <w:t>62 (13.2%)</w:t>
            </w:r>
          </w:p>
        </w:tc>
        <w:tc>
          <w:p>
            <w:pPr>
              <w:pStyle w:stlname="Normal" w:val="Normal"/>
            </w:pPr>
            <w:r>
              <w:t>11 (10.4%)</w:t>
            </w:r>
          </w:p>
        </w:tc>
      </w:tr>
      <w:tr>
        <w:tc>
          <w:p>
            <w:pPr>
              <w:pStyle w:stlname="Normal" w:val="Normal"/>
            </w:pPr>
            <w:r>
              <w:t>2+</w:t>
            </w:r>
          </w:p>
        </w:tc>
        <w:tc>
          <w:p>
            <w:pPr>
              <w:pStyle w:stlname="Normal" w:val="Normal"/>
            </w:pPr>
            <w:r>
              <w:t>6 (1.3%)</w:t>
            </w:r>
          </w:p>
        </w:tc>
        <w:tc>
          <w:p>
            <w:pPr>
              <w:pStyle w:stlname="Normal" w:val="Normal"/>
            </w:pPr>
            <w:r>
              <w:t>5 (1.9%)</w:t>
            </w:r>
          </w:p>
        </w:tc>
        <w:tc>
          <w:p>
            <w:pPr>
              <w:pStyle w:stlname="Normal" w:val="Normal"/>
            </w:pPr>
            <w:r>
              <w:t>2 (2.6%)</w:t>
            </w:r>
          </w:p>
        </w:tc>
        <w:tc>
          <w:p>
            <w:pPr>
              <w:pStyle w:stlname="Normal" w:val="Normal"/>
            </w:pPr>
            <w:r>
              <w:t>19 (4%)</w:t>
            </w:r>
          </w:p>
        </w:tc>
        <w:tc>
          <w:p>
            <w:pPr>
              <w:pStyle w:stlname="Normal" w:val="Normal"/>
            </w:pPr>
            <w:r>
              <w:t>1 (0.9%)</w:t>
            </w:r>
          </w:p>
        </w:tc>
      </w:tr>
      <w:tr>
        <w:tc>
          <w:p>
            <w:pPr>
              <w:pStyle w:stlname="Normal" w:val="Normal"/>
            </w:pPr>
            <w:r>
              <w:t>Giorni dal più recente sanguinamento (Mediana, range IQ)</w:t>
            </w:r>
          </w:p>
        </w:tc>
        <w:tc>
          <w:p>
            <w:pPr>
              <w:pStyle w:stlname="Normal" w:val="Normal"/>
            </w:pPr>
            <w:r>
              <w:t>357 (72.5-782.5)</w:t>
            </w:r>
          </w:p>
        </w:tc>
        <w:tc>
          <w:p>
            <w:pPr>
              <w:pStyle w:stlname="Normal" w:val="Normal"/>
            </w:pPr>
            <w:r>
              <w:t>411 (140.5-614)</w:t>
            </w:r>
          </w:p>
        </w:tc>
        <w:tc>
          <w:p>
            <w:pPr>
              <w:pStyle w:stlname="Normal" w:val="Normal"/>
            </w:pPr>
            <w:r>
              <w:t>444.5 (163-920)</w:t>
            </w:r>
          </w:p>
        </w:tc>
        <w:tc>
          <w:p>
            <w:pPr>
              <w:pStyle w:stlname="Normal" w:val="Normal"/>
            </w:pPr>
            <w:r>
              <w:t>212 (72-499)</w:t>
            </w:r>
          </w:p>
        </w:tc>
        <w:tc>
          <w:p>
            <w:pPr>
              <w:pStyle w:stlname="Normal" w:val="Normal"/>
            </w:pPr>
            <w:r>
              <w:t>159.5 (69.5-289.25)</w:t>
            </w:r>
          </w:p>
        </w:tc>
      </w:tr>
    </w:tbl>
    <w:p>
      <w:pPr>
        <w:sectPr w:officer="true">
          <w:type w:val="continuous"/>
          <w:cols/>
          <w:pgSz w:w="11900" w:h="16840"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2024-12-16T13:31:25Z</dcterms:modified>
  <cp:category/>
</cp:coreProperties>
</file>