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rPr>
          <w:rFonts w:ascii="Arial" w:cs="Arial" w:eastAsia="Arial" w:hAnsi="Arial"/>
          <w:b/>
          <w:bCs/>
          <w:color w:val="1F4E79"/>
          <w:sz w:val="48"/>
          <w:szCs w:val="48"/>
        </w:rPr>
        <w:t xml:space="preserve">INFORME TÉCNICO COMPARATIVO</w:t>
      </w:r>
    </w:p>
    <w:p>
      <w:pPr>
        <w:spacing w:after="40" w:before="40"/>
      </w:pPr>
    </w:p>
    <w:p>
      <w:pPr>
        <w:jc w:val="center"/>
      </w:pPr>
      <w:r>
        <w:rPr>
          <w:rFonts w:ascii="Arial" w:cs="Arial" w:eastAsia="Arial" w:hAnsi="Arial"/>
          <w:color w:val="2E75B6"/>
          <w:sz w:val="32"/>
          <w:szCs w:val="32"/>
        </w:rPr>
        <w:t xml:space="preserve">Arquitecturas de Bases de Datos:</w:t>
      </w:r>
    </w:p>
    <w:p>
      <w:pPr>
        <w:jc w:val="center"/>
      </w:pPr>
      <w:r>
        <w:rPr>
          <w:rFonts w:ascii="Arial" w:cs="Arial" w:eastAsia="Arial" w:hAnsi="Arial"/>
          <w:b/>
          <w:bCs/>
          <w:color w:val="2E75B6"/>
          <w:sz w:val="32"/>
          <w:szCs w:val="32"/>
        </w:rPr>
        <w:t xml:space="preserve">Centralizada, Cliente-Servidor y Distribuida</w:t>
      </w:r>
    </w:p>
    <w:p>
      <w:pPr>
        <w:spacing w:after="200" w:before="200"/>
      </w:pPr>
    </w:p>
    <w:p>
      <w:pPr>
        <w:pBdr>
          <w:bottom w:val="single" w:color="2E75B6" w:sz="12" w:space="1"/>
        </w:pBdr>
        <w:spacing w:after="200"/>
      </w:pPr>
    </w:p>
    <w:p>
      <w:pPr>
        <w:spacing w:after="160" w:before="160"/>
      </w:pPr>
    </w:p>
    <w:p>
      <w:pPr>
        <w:jc w:val="center"/>
      </w:pPr>
      <w:r>
        <w:rPr>
          <w:rFonts w:ascii="Arial" w:cs="Arial" w:eastAsia="Arial" w:hAnsi="Arial"/>
          <w:color w:val="595959"/>
          <w:sz w:val="22"/>
          <w:szCs w:val="22"/>
        </w:rPr>
        <w:t xml:space="preserve">Elaborado por:</w:t>
      </w:r>
    </w:p>
    <w:p>
      <w:pPr>
        <w:jc w:val="center"/>
      </w:pPr>
      <w:r>
        <w:rPr>
          <w:rFonts w:ascii="Arial" w:cs="Arial" w:eastAsia="Arial" w:hAnsi="Arial"/>
          <w:b/>
          <w:bCs/>
          <w:sz w:val="22"/>
          <w:szCs w:val="22"/>
        </w:rPr>
        <w:t xml:space="preserve">Equipo de Análisis de Sistemas de Información</w:t>
      </w:r>
    </w:p>
    <w:p>
      <w:pPr>
        <w:spacing w:after="80" w:before="80"/>
      </w:pPr>
    </w:p>
    <w:p>
      <w:pPr>
        <w:jc w:val="center"/>
      </w:pPr>
      <w:r>
        <w:rPr>
          <w:rFonts w:ascii="Arial" w:cs="Arial" w:eastAsia="Arial" w:hAnsi="Arial"/>
          <w:color w:val="595959"/>
          <w:sz w:val="22"/>
          <w:szCs w:val="22"/>
        </w:rPr>
        <w:t xml:space="preserve">Área:</w:t>
      </w:r>
    </w:p>
    <w:p>
      <w:pPr>
        <w:jc w:val="center"/>
      </w:pPr>
      <w:r>
        <w:rPr>
          <w:rFonts w:ascii="Arial" w:cs="Arial" w:eastAsia="Arial" w:hAnsi="Arial"/>
          <w:b/>
          <w:bCs/>
          <w:sz w:val="22"/>
          <w:szCs w:val="22"/>
        </w:rPr>
        <w:t xml:space="preserve">Ingeniería de Sistemas / Bases de Datos</w:t>
      </w:r>
    </w:p>
    <w:p>
      <w:pPr>
        <w:spacing w:after="80" w:before="80"/>
      </w:pPr>
    </w:p>
    <w:p>
      <w:pPr>
        <w:jc w:val="center"/>
      </w:pPr>
      <w:r>
        <w:rPr>
          <w:rFonts w:ascii="Arial" w:cs="Arial" w:eastAsia="Arial" w:hAnsi="Arial"/>
          <w:color w:val="595959"/>
          <w:sz w:val="22"/>
          <w:szCs w:val="22"/>
        </w:rPr>
        <w:t xml:space="preserve">Fecha:</w:t>
      </w:r>
    </w:p>
    <w:p>
      <w:pPr>
        <w:jc w:val="center"/>
      </w:pPr>
      <w:r>
        <w:rPr>
          <w:rFonts w:ascii="Arial" w:cs="Arial" w:eastAsia="Arial" w:hAnsi="Arial"/>
          <w:b/>
          <w:bCs/>
          <w:sz w:val="22"/>
          <w:szCs w:val="22"/>
        </w:rPr>
        <w:t xml:space="preserve">Abril 2026</w:t>
      </w:r>
    </w:p>
    <w:p>
      <w:pPr>
        <w:spacing w:after="200" w:before="200"/>
      </w:pPr>
    </w:p>
    <w:p>
      <w:pPr>
        <w:jc w:val="center"/>
      </w:pPr>
      <w:r>
        <w:rPr>
          <w:rFonts w:ascii="Arial" w:cs="Arial" w:eastAsia="Arial" w:hAnsi="Arial"/>
          <w:i/>
          <w:iCs/>
          <w:color w:val="595959"/>
          <w:sz w:val="18"/>
          <w:szCs w:val="18"/>
        </w:rPr>
        <w:t xml:space="preserve">[ Versión 1.0 — Uso Académico ]</w:t>
      </w:r>
    </w:p>
    <w:p>
      <w:r>
        <w:br w:type="page"/>
      </w:r>
    </w:p>
    <w:p>
      <w:pPr>
        <w:pStyle w:val="Heading1"/>
        <w:spacing w:after="180" w:before="360"/>
      </w:pPr>
      <w:r>
        <w:rPr>
          <w:rFonts w:ascii="Arial" w:cs="Arial" w:eastAsia="Arial" w:hAnsi="Arial"/>
          <w:b/>
          <w:bCs/>
          <w:color w:val="1F4E79"/>
          <w:sz w:val="28"/>
          <w:szCs w:val="28"/>
        </w:rPr>
        <w:t xml:space="preserve">1. Introducción</w:t>
      </w:r>
    </w:p>
    <w:p>
      <w:pPr>
        <w:spacing w:after="120" w:before="0" w:line="276"/>
        <w:jc w:val="both"/>
      </w:pPr>
      <w:r>
        <w:rPr>
          <w:rFonts w:ascii="Arial" w:cs="Arial" w:eastAsia="Arial" w:hAnsi="Arial"/>
          <w:b w:val="false"/>
          <w:bCs w:val="false"/>
          <w:i w:val="false"/>
          <w:iCs w:val="false"/>
          <w:color w:val="000000"/>
          <w:sz w:val="20"/>
          <w:szCs w:val="20"/>
        </w:rPr>
        <w:t xml:space="preserve">El diseño de la arquitectura de una base de datos es una de las decisiones más críticas en el desarrollo de sistemas de información. La arquitectura elegida determina la escalabilidad, disponibilidad, rendimiento, seguridad y costo total de propiedad de cualquier aplicación moderna.</w:t>
      </w:r>
    </w:p>
    <w:p>
      <w:pPr>
        <w:spacing w:after="80" w:before="80"/>
      </w:pPr>
    </w:p>
    <w:p>
      <w:pPr>
        <w:spacing w:after="120" w:before="0" w:line="276"/>
        <w:jc w:val="both"/>
      </w:pPr>
      <w:r>
        <w:rPr>
          <w:rFonts w:ascii="Arial" w:cs="Arial" w:eastAsia="Arial" w:hAnsi="Arial"/>
          <w:b w:val="false"/>
          <w:bCs w:val="false"/>
          <w:i w:val="false"/>
          <w:iCs w:val="false"/>
          <w:color w:val="000000"/>
          <w:sz w:val="20"/>
          <w:szCs w:val="20"/>
        </w:rPr>
        <w:t xml:space="preserve">El presente informe técnico analiza de manera comparativa las tres arquitecturas fundamentales de bases de datos:</w:t>
      </w:r>
    </w:p>
    <w:p>
      <w:pPr>
        <w:spacing w:after="80" w:before="80"/>
      </w:pPr>
    </w:p>
    <w:p>
      <w:pPr>
        <w:pStyle w:val="ListParagraph"/>
        <w:numPr>
          <w:ilvl w:val="0"/>
          <w:numId w:val="2"/>
        </w:numPr>
        <w:spacing w:after="60" w:before="40"/>
      </w:pPr>
      <w:r>
        <w:rPr>
          <w:rFonts w:ascii="Arial" w:cs="Arial" w:eastAsia="Arial" w:hAnsi="Arial"/>
          <w:sz w:val="19"/>
          <w:szCs w:val="19"/>
        </w:rPr>
        <w:t xml:space="preserve">Arquitectura Centralizada</w:t>
      </w:r>
    </w:p>
    <w:p>
      <w:pPr>
        <w:pStyle w:val="ListParagraph"/>
        <w:numPr>
          <w:ilvl w:val="0"/>
          <w:numId w:val="2"/>
        </w:numPr>
        <w:spacing w:after="60" w:before="40"/>
      </w:pPr>
      <w:r>
        <w:rPr>
          <w:rFonts w:ascii="Arial" w:cs="Arial" w:eastAsia="Arial" w:hAnsi="Arial"/>
          <w:sz w:val="19"/>
          <w:szCs w:val="19"/>
        </w:rPr>
        <w:t xml:space="preserve">Arquitectura Cliente-Servidor</w:t>
      </w:r>
    </w:p>
    <w:p>
      <w:pPr>
        <w:pStyle w:val="ListParagraph"/>
        <w:numPr>
          <w:ilvl w:val="0"/>
          <w:numId w:val="2"/>
        </w:numPr>
        <w:spacing w:after="60" w:before="40"/>
      </w:pPr>
      <w:r>
        <w:rPr>
          <w:rFonts w:ascii="Arial" w:cs="Arial" w:eastAsia="Arial" w:hAnsi="Arial"/>
          <w:sz w:val="19"/>
          <w:szCs w:val="19"/>
        </w:rPr>
        <w:t xml:space="preserve">Arquitectura Distribuida</w:t>
      </w:r>
    </w:p>
    <w:p>
      <w:pPr>
        <w:spacing w:after="80" w:before="80"/>
      </w:pPr>
    </w:p>
    <w:p>
      <w:pPr>
        <w:spacing w:after="120" w:before="0" w:line="276"/>
        <w:jc w:val="both"/>
      </w:pPr>
      <w:r>
        <w:rPr>
          <w:rFonts w:ascii="Arial" w:cs="Arial" w:eastAsia="Arial" w:hAnsi="Arial"/>
          <w:b w:val="false"/>
          <w:bCs w:val="false"/>
          <w:i w:val="false"/>
          <w:iCs w:val="false"/>
          <w:color w:val="000000"/>
          <w:sz w:val="20"/>
          <w:szCs w:val="20"/>
        </w:rPr>
        <w:t xml:space="preserve">Para cada arquitectura se presentan sus definiciones, características técnicas, ventajas y desventajas, así como ejemplos de implementación con DBMS (Database Management Systems) actuales. Finalmente, se emite una recomendación fundada para un Sistema de Gestión Académica (SGA).</w:t>
      </w:r>
    </w:p>
    <w:p>
      <w:pPr>
        <w:spacing w:after="160" w:before="160"/>
      </w:pPr>
    </w:p>
    <w:p>
      <w:pPr>
        <w:pStyle w:val="Heading1"/>
        <w:spacing w:after="180" w:before="360"/>
      </w:pPr>
      <w:r>
        <w:rPr>
          <w:rFonts w:ascii="Arial" w:cs="Arial" w:eastAsia="Arial" w:hAnsi="Arial"/>
          <w:b/>
          <w:bCs/>
          <w:color w:val="1F4E79"/>
          <w:sz w:val="28"/>
          <w:szCs w:val="28"/>
        </w:rPr>
        <w:t xml:space="preserve">2. Arquitectura Centralizada</w:t>
      </w:r>
    </w:p>
    <w:p>
      <w:pPr>
        <w:pStyle w:val="Heading2"/>
        <w:spacing w:after="120" w:before="240"/>
      </w:pPr>
      <w:r>
        <w:rPr>
          <w:rFonts w:ascii="Arial" w:cs="Arial" w:eastAsia="Arial" w:hAnsi="Arial"/>
          <w:b/>
          <w:bCs/>
          <w:color w:val="2E75B6"/>
          <w:sz w:val="24"/>
          <w:szCs w:val="24"/>
        </w:rPr>
        <w:t xml:space="preserve">2.1 Definición</w:t>
      </w:r>
    </w:p>
    <w:p>
      <w:pPr>
        <w:spacing w:after="120" w:before="0" w:line="276"/>
        <w:jc w:val="both"/>
      </w:pPr>
      <w:r>
        <w:rPr>
          <w:rFonts w:ascii="Arial" w:cs="Arial" w:eastAsia="Arial" w:hAnsi="Arial"/>
          <w:b w:val="false"/>
          <w:bCs w:val="false"/>
          <w:i w:val="false"/>
          <w:iCs w:val="false"/>
          <w:color w:val="000000"/>
          <w:sz w:val="20"/>
          <w:szCs w:val="20"/>
        </w:rPr>
        <w:t xml:space="preserve">La arquitectura centralizada es el modelo más sencillo en la gestión de bases de datos. En ella, todos los datos, la lógica de procesamiento y los recursos de almacenamiento residen en un único servidor o mainframe central. Los usuarios acceden a los datos directamente a través de terminales conectadas a dicho servidor.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8"/>
            </w:tcBorders>
            <w:shd w:fill="DEEAF1" w:val="clear"/>
            <w:tcMar>
              <w:top w:type="dxa" w:w="120"/>
              <w:left w:type="dxa" w:w="200"/>
              <w:bottom w:type="dxa" w:w="120"/>
              <w:right w:type="dxa" w:w="120"/>
            </w:tcMar>
          </w:tcPr>
          <w:p>
            <w:r>
              <w:rPr>
                <w:rFonts w:ascii="Arial" w:cs="Arial" w:eastAsia="Arial" w:hAnsi="Arial"/>
                <w:b/>
                <w:bCs/>
                <w:color w:val="2E75B6"/>
                <w:sz w:val="20"/>
                <w:szCs w:val="20"/>
              </w:rPr>
              <w:t xml:space="preserve">🔑 Concepto clave</w:t>
            </w:r>
          </w:p>
          <w:p>
            <w:pPr>
              <w:spacing w:before="60"/>
            </w:pPr>
            <w:r>
              <w:rPr>
                <w:rFonts w:ascii="Arial" w:cs="Arial" w:eastAsia="Arial" w:hAnsi="Arial"/>
                <w:sz w:val="18"/>
                <w:szCs w:val="18"/>
              </w:rPr>
              <w:t xml:space="preserve">Un solo servidor = un único punto de verdad. Todo el poder de cómputo y almacenamiento se concentra en una máquina central que atiende a todos los usuarios.</w:t>
            </w:r>
          </w:p>
        </w:tc>
      </w:tr>
    </w:tbl>
    <w:p>
      <w:pPr>
        <w:spacing w:after="160" w:before="160"/>
      </w:pPr>
    </w:p>
    <w:p>
      <w:pPr>
        <w:pStyle w:val="Heading2"/>
        <w:spacing w:after="120" w:before="240"/>
      </w:pPr>
      <w:r>
        <w:rPr>
          <w:rFonts w:ascii="Arial" w:cs="Arial" w:eastAsia="Arial" w:hAnsi="Arial"/>
          <w:b/>
          <w:bCs/>
          <w:color w:val="2E75B6"/>
          <w:sz w:val="24"/>
          <w:szCs w:val="24"/>
        </w:rPr>
        <w:t xml:space="preserve">2.2 Características Técnicas</w:t>
      </w:r>
    </w:p>
    <w:p>
      <w:pPr>
        <w:pStyle w:val="ListParagraph"/>
        <w:numPr>
          <w:ilvl w:val="0"/>
          <w:numId w:val="2"/>
        </w:numPr>
        <w:spacing w:after="60" w:before="40"/>
      </w:pPr>
      <w:r>
        <w:rPr>
          <w:rFonts w:ascii="Arial" w:cs="Arial" w:eastAsia="Arial" w:hAnsi="Arial"/>
          <w:sz w:val="19"/>
          <w:szCs w:val="19"/>
        </w:rPr>
        <w:t xml:space="preserve">Almacenamiento unificado: todos los datos en un único servidor físico o virtual.</w:t>
      </w:r>
    </w:p>
    <w:p>
      <w:pPr>
        <w:pStyle w:val="ListParagraph"/>
        <w:numPr>
          <w:ilvl w:val="0"/>
          <w:numId w:val="2"/>
        </w:numPr>
        <w:spacing w:after="60" w:before="40"/>
      </w:pPr>
      <w:r>
        <w:rPr>
          <w:rFonts w:ascii="Arial" w:cs="Arial" w:eastAsia="Arial" w:hAnsi="Arial"/>
          <w:sz w:val="19"/>
          <w:szCs w:val="19"/>
        </w:rPr>
        <w:t xml:space="preserve">Procesamiento centralizado: la CPU del servidor ejecuta todas las transacciones.</w:t>
      </w:r>
    </w:p>
    <w:p>
      <w:pPr>
        <w:pStyle w:val="ListParagraph"/>
        <w:numPr>
          <w:ilvl w:val="0"/>
          <w:numId w:val="2"/>
        </w:numPr>
        <w:spacing w:after="60" w:before="40"/>
      </w:pPr>
      <w:r>
        <w:rPr>
          <w:rFonts w:ascii="Arial" w:cs="Arial" w:eastAsia="Arial" w:hAnsi="Arial"/>
          <w:sz w:val="19"/>
          <w:szCs w:val="19"/>
        </w:rPr>
        <w:t xml:space="preserve">Gestión simplificada: un solo administrador controla la totalidad del sistema.</w:t>
      </w:r>
    </w:p>
    <w:p>
      <w:pPr>
        <w:pStyle w:val="ListParagraph"/>
        <w:numPr>
          <w:ilvl w:val="0"/>
          <w:numId w:val="2"/>
        </w:numPr>
        <w:spacing w:after="60" w:before="40"/>
      </w:pPr>
      <w:r>
        <w:rPr>
          <w:rFonts w:ascii="Arial" w:cs="Arial" w:eastAsia="Arial" w:hAnsi="Arial"/>
          <w:sz w:val="19"/>
          <w:szCs w:val="19"/>
        </w:rPr>
        <w:t xml:space="preserve">Consistencia alta: modelo ACID nativo sin necesidad de coordinación entre nodos.</w:t>
      </w:r>
    </w:p>
    <w:p>
      <w:pPr>
        <w:pStyle w:val="ListParagraph"/>
        <w:numPr>
          <w:ilvl w:val="0"/>
          <w:numId w:val="2"/>
        </w:numPr>
        <w:spacing w:after="60" w:before="40"/>
      </w:pPr>
      <w:r>
        <w:rPr>
          <w:rFonts w:ascii="Arial" w:cs="Arial" w:eastAsia="Arial" w:hAnsi="Arial"/>
          <w:sz w:val="19"/>
          <w:szCs w:val="19"/>
        </w:rPr>
        <w:t xml:space="preserve">Seguridad perimetral: un solo punto de control de acceso y autenticación.</w:t>
      </w:r>
    </w:p>
    <w:p>
      <w:pPr>
        <w:pStyle w:val="ListParagraph"/>
        <w:numPr>
          <w:ilvl w:val="0"/>
          <w:numId w:val="2"/>
        </w:numPr>
        <w:spacing w:after="60" w:before="40"/>
      </w:pPr>
      <w:r>
        <w:rPr>
          <w:rFonts w:ascii="Arial" w:cs="Arial" w:eastAsia="Arial" w:hAnsi="Arial"/>
          <w:sz w:val="19"/>
          <w:szCs w:val="19"/>
        </w:rPr>
        <w:t xml:space="preserve">Respaldo unificado: estrategias de backup aplicadas a un único repositorio.</w:t>
      </w:r>
    </w:p>
    <w:p>
      <w:pPr>
        <w:pStyle w:val="ListParagraph"/>
        <w:numPr>
          <w:ilvl w:val="0"/>
          <w:numId w:val="2"/>
        </w:numPr>
        <w:spacing w:after="60" w:before="40"/>
      </w:pPr>
      <w:r>
        <w:rPr>
          <w:rFonts w:ascii="Arial" w:cs="Arial" w:eastAsia="Arial" w:hAnsi="Arial"/>
          <w:sz w:val="19"/>
          <w:szCs w:val="19"/>
        </w:rPr>
        <w:t xml:space="preserve">Sin latencia de red: la comunicación interna es local y de muy baja latencia.</w:t>
      </w:r>
    </w:p>
    <w:p>
      <w:pPr>
        <w:spacing w:after="160" w:before="160"/>
      </w:pPr>
    </w:p>
    <w:p>
      <w:pPr>
        <w:pStyle w:val="Heading2"/>
        <w:spacing w:after="120" w:before="240"/>
      </w:pPr>
      <w:r>
        <w:rPr>
          <w:rFonts w:ascii="Arial" w:cs="Arial" w:eastAsia="Arial" w:hAnsi="Arial"/>
          <w:b/>
          <w:bCs/>
          <w:color w:val="2E75B6"/>
          <w:sz w:val="24"/>
          <w:szCs w:val="24"/>
        </w:rPr>
        <w:t xml:space="preserve">2.3 Ventajas y Desventajas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8"/>
              <w:left w:val="single" w:color="1F4E79" w:sz="8"/>
              <w:bottom w:val="single" w:color="1F4E79" w:sz="8"/>
              <w:right w:val="single" w:color="1F4E79" w:sz="8"/>
            </w:tcBorders>
            <w:shd w:fill="37562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Ventajas</w:t>
            </w:r>
          </w:p>
        </w:tc>
        <w:tc>
          <w:tcPr>
            <w:tcW w:type="dxa" w:w="4680"/>
            <w:tcBorders>
              <w:top w:val="single" w:color="1F4E79" w:sz="8"/>
              <w:left w:val="single" w:color="1F4E79" w:sz="8"/>
              <w:bottom w:val="single" w:color="1F4E79" w:sz="8"/>
              <w:right w:val="single" w:color="1F4E79" w:sz="8"/>
            </w:tcBorders>
            <w:shd w:fill="C0000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Desventajas</w:t>
            </w:r>
          </w:p>
        </w:tc>
      </w:tr>
      <w:tr>
        <w:tc>
          <w:tcPr>
            <w:tcW w:type="dxa" w:w="4680"/>
            <w:tcBorders>
              <w:top w:val="single" w:color="CCCCCC" w:sz="8"/>
              <w:left w:val="single" w:color="CCCCCC" w:sz="8"/>
              <w:bottom w:val="single" w:color="CCCCCC" w:sz="8"/>
              <w:right w:val="single" w:color="CCCCCC" w:sz="8"/>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Gestión administrativa muy sencilla</w:t>
            </w:r>
          </w:p>
        </w:tc>
        <w:tc>
          <w:tcPr>
            <w:tcW w:type="dxa" w:w="4680"/>
            <w:tcBorders>
              <w:top w:val="single" w:color="CCCCCC" w:sz="8"/>
              <w:left w:val="single" w:color="CCCCCC" w:sz="8"/>
              <w:bottom w:val="single" w:color="CCCCCC" w:sz="8"/>
              <w:right w:val="single" w:color="CCCCCC" w:sz="8"/>
            </w:tcBorders>
            <w:shd w:fill="FFDFD6"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Punto único de fallo (SPOF): si el servidor cae, todo el sistema falla</w:t>
            </w:r>
          </w:p>
        </w:tc>
      </w:tr>
      <w:tr>
        <w:tc>
          <w:tcPr>
            <w:tcW w:type="dxa" w:w="468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Bajo costo de implementación inicial</w:t>
            </w:r>
          </w:p>
        </w:tc>
        <w:tc>
          <w:tcPr>
            <w:tcW w:type="dxa" w:w="468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Escalabilidad limitada: solo crece verticalmente (más RAM/CPU)</w:t>
            </w:r>
          </w:p>
        </w:tc>
      </w:tr>
      <w:tr>
        <w:tc>
          <w:tcPr>
            <w:tcW w:type="dxa" w:w="4680"/>
            <w:tcBorders>
              <w:top w:val="single" w:color="CCCCCC" w:sz="8"/>
              <w:left w:val="single" w:color="CCCCCC" w:sz="8"/>
              <w:bottom w:val="single" w:color="CCCCCC" w:sz="8"/>
              <w:right w:val="single" w:color="CCCCCC" w:sz="8"/>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Consistencia de datos garantizada (ACID)</w:t>
            </w:r>
          </w:p>
        </w:tc>
        <w:tc>
          <w:tcPr>
            <w:tcW w:type="dxa" w:w="4680"/>
            <w:tcBorders>
              <w:top w:val="single" w:color="CCCCCC" w:sz="8"/>
              <w:left w:val="single" w:color="CCCCCC" w:sz="8"/>
              <w:bottom w:val="single" w:color="CCCCCC" w:sz="8"/>
              <w:right w:val="single" w:color="CCCCCC" w:sz="8"/>
            </w:tcBorders>
            <w:shd w:fill="FFDFD6"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Cuello de botella: un solo servidor para todos los usuarios</w:t>
            </w:r>
          </w:p>
        </w:tc>
      </w:tr>
      <w:tr>
        <w:tc>
          <w:tcPr>
            <w:tcW w:type="dxa" w:w="468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Respaldo y recuperación simples</w:t>
            </w:r>
          </w:p>
        </w:tc>
        <w:tc>
          <w:tcPr>
            <w:tcW w:type="dxa" w:w="468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Sin tolerancia a fallos ni redundancia</w:t>
            </w:r>
          </w:p>
        </w:tc>
      </w:tr>
      <w:tr>
        <w:tc>
          <w:tcPr>
            <w:tcW w:type="dxa" w:w="4680"/>
            <w:tcBorders>
              <w:top w:val="single" w:color="CCCCCC" w:sz="8"/>
              <w:left w:val="single" w:color="CCCCCC" w:sz="8"/>
              <w:bottom w:val="single" w:color="CCCCCC" w:sz="8"/>
              <w:right w:val="single" w:color="CCCCCC" w:sz="8"/>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Sin complejidad de sincronización entre nodos</w:t>
            </w:r>
          </w:p>
        </w:tc>
        <w:tc>
          <w:tcPr>
            <w:tcW w:type="dxa" w:w="4680"/>
            <w:tcBorders>
              <w:top w:val="single" w:color="CCCCCC" w:sz="8"/>
              <w:left w:val="single" w:color="CCCCCC" w:sz="8"/>
              <w:bottom w:val="single" w:color="CCCCCC" w:sz="8"/>
              <w:right w:val="single" w:color="CCCCCC" w:sz="8"/>
            </w:tcBorders>
            <w:shd w:fill="FFDFD6"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Riesgo alto de pérdida de datos ante desastres físicos</w:t>
            </w:r>
          </w:p>
        </w:tc>
      </w:tr>
      <w:tr>
        <w:tc>
          <w:tcPr>
            <w:tcW w:type="dxa" w:w="468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Rendimiento óptimo para cargas de trabajo pequeñas</w:t>
            </w:r>
          </w:p>
        </w:tc>
        <w:tc>
          <w:tcPr>
            <w:tcW w:type="dxa" w:w="468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Poco adecuada para entornos geográficamente distribuidos</w:t>
            </w:r>
          </w:p>
        </w:tc>
      </w:tr>
    </w:tbl>
    <w:p>
      <w:pPr>
        <w:spacing w:after="160" w:before="160"/>
      </w:pPr>
    </w:p>
    <w:p>
      <w:pPr>
        <w:pStyle w:val="Heading2"/>
        <w:spacing w:after="120" w:before="240"/>
      </w:pPr>
      <w:r>
        <w:rPr>
          <w:rFonts w:ascii="Arial" w:cs="Arial" w:eastAsia="Arial" w:hAnsi="Arial"/>
          <w:b/>
          <w:bCs/>
          <w:color w:val="2E75B6"/>
          <w:sz w:val="24"/>
          <w:szCs w:val="24"/>
        </w:rPr>
        <w:t xml:space="preserve">2.4 Ejemplos de Implementación con DBMS Actuales</w:t>
      </w:r>
    </w:p>
    <w:p>
      <w:pPr>
        <w:pStyle w:val="ListParagraph"/>
        <w:numPr>
          <w:ilvl w:val="0"/>
          <w:numId w:val="2"/>
        </w:numPr>
        <w:spacing w:after="60" w:before="40"/>
      </w:pPr>
      <w:r>
        <w:rPr>
          <w:rFonts w:ascii="Arial" w:cs="Arial" w:eastAsia="Arial" w:hAnsi="Arial"/>
          <w:sz w:val="19"/>
          <w:szCs w:val="19"/>
        </w:rPr>
        <w:t xml:space="preserve">SQLite: motor embebido usado en dispositivos móviles, navegadores y aplicaciones de escritorio. Ideal para datos locales sin servidor.</w:t>
      </w:r>
    </w:p>
    <w:p>
      <w:pPr>
        <w:pStyle w:val="ListParagraph"/>
        <w:numPr>
          <w:ilvl w:val="0"/>
          <w:numId w:val="2"/>
        </w:numPr>
        <w:spacing w:after="60" w:before="40"/>
      </w:pPr>
      <w:r>
        <w:rPr>
          <w:rFonts w:ascii="Arial" w:cs="Arial" w:eastAsia="Arial" w:hAnsi="Arial"/>
          <w:sz w:val="19"/>
          <w:szCs w:val="19"/>
        </w:rPr>
        <w:t xml:space="preserve">Microsoft Access: DBMS de escritorio para pequeñas organizaciones y aplicaciones departamentales.</w:t>
      </w:r>
    </w:p>
    <w:p>
      <w:pPr>
        <w:pStyle w:val="ListParagraph"/>
        <w:numPr>
          <w:ilvl w:val="0"/>
          <w:numId w:val="2"/>
        </w:numPr>
        <w:spacing w:after="60" w:before="40"/>
      </w:pPr>
      <w:r>
        <w:rPr>
          <w:rFonts w:ascii="Arial" w:cs="Arial" w:eastAsia="Arial" w:hAnsi="Arial"/>
          <w:sz w:val="19"/>
          <w:szCs w:val="19"/>
        </w:rPr>
        <w:t xml:space="preserve">Oracle Database Standard Edition: versión centralizada del popular motor empresarial para organizaciones medianas.</w:t>
      </w:r>
    </w:p>
    <w:p>
      <w:pPr>
        <w:pStyle w:val="ListParagraph"/>
        <w:numPr>
          <w:ilvl w:val="0"/>
          <w:numId w:val="2"/>
        </w:numPr>
        <w:spacing w:after="60" w:before="40"/>
      </w:pPr>
      <w:r>
        <w:rPr>
          <w:rFonts w:ascii="Arial" w:cs="Arial" w:eastAsia="Arial" w:hAnsi="Arial"/>
          <w:sz w:val="19"/>
          <w:szCs w:val="19"/>
        </w:rPr>
        <w:t xml:space="preserve">IBM Db2 (modo standalone): solución para mainframes que centraliza procesamiento masivo de datos financieros y estadísticos.</w:t>
      </w:r>
    </w:p>
    <w:p>
      <w:pPr>
        <w:spacing w:after="80" w:before="80"/>
      </w:pPr>
    </w:p>
    <w:p>
      <w:pPr>
        <w:spacing w:after="120" w:before="0" w:line="276"/>
        <w:jc w:val="both"/>
      </w:pPr>
      <w:r>
        <w:rPr>
          <w:rFonts w:ascii="Arial" w:cs="Arial" w:eastAsia="Arial" w:hAnsi="Arial"/>
          <w:b/>
          <w:bCs/>
          <w:i w:val="false"/>
          <w:iCs w:val="false"/>
          <w:color w:val="000000"/>
          <w:sz w:val="20"/>
          <w:szCs w:val="20"/>
        </w:rPr>
        <w:t xml:space="preserve">Casos de uso típicos:</w:t>
      </w:r>
    </w:p>
    <w:p>
      <w:pPr>
        <w:pStyle w:val="ListParagraph"/>
        <w:numPr>
          <w:ilvl w:val="0"/>
          <w:numId w:val="3"/>
        </w:numPr>
        <w:spacing w:after="40" w:before="20"/>
      </w:pPr>
      <w:r>
        <w:rPr>
          <w:rFonts w:ascii="Arial" w:cs="Arial" w:eastAsia="Arial" w:hAnsi="Arial"/>
          <w:i/>
          <w:iCs/>
          <w:sz w:val="18"/>
          <w:szCs w:val="18"/>
        </w:rPr>
        <w:t xml:space="preserve">Aplicaciones de escritorio (inventarios, POS locales).</w:t>
      </w:r>
    </w:p>
    <w:p>
      <w:pPr>
        <w:pStyle w:val="ListParagraph"/>
        <w:numPr>
          <w:ilvl w:val="0"/>
          <w:numId w:val="3"/>
        </w:numPr>
        <w:spacing w:after="40" w:before="20"/>
      </w:pPr>
      <w:r>
        <w:rPr>
          <w:rFonts w:ascii="Arial" w:cs="Arial" w:eastAsia="Arial" w:hAnsi="Arial"/>
          <w:i/>
          <w:iCs/>
          <w:sz w:val="18"/>
          <w:szCs w:val="18"/>
        </w:rPr>
        <w:t xml:space="preserve">Sistemas embebidos (dispositivos IoT con SQLite).</w:t>
      </w:r>
    </w:p>
    <w:p>
      <w:pPr>
        <w:pStyle w:val="ListParagraph"/>
        <w:numPr>
          <w:ilvl w:val="0"/>
          <w:numId w:val="3"/>
        </w:numPr>
        <w:spacing w:after="40" w:before="20"/>
      </w:pPr>
      <w:r>
        <w:rPr>
          <w:rFonts w:ascii="Arial" w:cs="Arial" w:eastAsia="Arial" w:hAnsi="Arial"/>
          <w:i/>
          <w:iCs/>
          <w:sz w:val="18"/>
          <w:szCs w:val="18"/>
        </w:rPr>
        <w:t xml:space="preserve">Prototipos y entornos de desarrollo.</w:t>
      </w:r>
    </w:p>
    <w:p>
      <w:pPr>
        <w:pStyle w:val="ListParagraph"/>
        <w:numPr>
          <w:ilvl w:val="0"/>
          <w:numId w:val="3"/>
        </w:numPr>
        <w:spacing w:after="40" w:before="20"/>
      </w:pPr>
      <w:r>
        <w:rPr>
          <w:rFonts w:ascii="Arial" w:cs="Arial" w:eastAsia="Arial" w:hAnsi="Arial"/>
          <w:i/>
          <w:iCs/>
          <w:sz w:val="18"/>
          <w:szCs w:val="18"/>
        </w:rPr>
        <w:t xml:space="preserve">Instituciones con menos de 200 usuarios concurrentes.</w:t>
      </w:r>
    </w:p>
    <w:p>
      <w:r>
        <w:br w:type="page"/>
      </w:r>
    </w:p>
    <w:p>
      <w:pPr>
        <w:pStyle w:val="Heading1"/>
        <w:spacing w:after="180" w:before="360"/>
      </w:pPr>
      <w:r>
        <w:rPr>
          <w:rFonts w:ascii="Arial" w:cs="Arial" w:eastAsia="Arial" w:hAnsi="Arial"/>
          <w:b/>
          <w:bCs/>
          <w:color w:val="1F4E79"/>
          <w:sz w:val="28"/>
          <w:szCs w:val="28"/>
        </w:rPr>
        <w:t xml:space="preserve">3. Arquitectura Cliente-Servidor</w:t>
      </w:r>
    </w:p>
    <w:p>
      <w:pPr>
        <w:pStyle w:val="Heading2"/>
        <w:spacing w:after="120" w:before="240"/>
      </w:pPr>
      <w:r>
        <w:rPr>
          <w:rFonts w:ascii="Arial" w:cs="Arial" w:eastAsia="Arial" w:hAnsi="Arial"/>
          <w:b/>
          <w:bCs/>
          <w:color w:val="2E75B6"/>
          <w:sz w:val="24"/>
          <w:szCs w:val="24"/>
        </w:rPr>
        <w:t xml:space="preserve">3.1 Definición</w:t>
      </w:r>
    </w:p>
    <w:p>
      <w:pPr>
        <w:spacing w:after="120" w:before="0" w:line="276"/>
        <w:jc w:val="both"/>
      </w:pPr>
      <w:r>
        <w:rPr>
          <w:rFonts w:ascii="Arial" w:cs="Arial" w:eastAsia="Arial" w:hAnsi="Arial"/>
          <w:b w:val="false"/>
          <w:bCs w:val="false"/>
          <w:i w:val="false"/>
          <w:iCs w:val="false"/>
          <w:color w:val="000000"/>
          <w:sz w:val="20"/>
          <w:szCs w:val="20"/>
        </w:rPr>
        <w:t xml:space="preserve">La arquitectura cliente-servidor establece una clara separación de responsabilidades entre dos tipos de componentes: el servidor de base de datos, que gestiona y almacena los datos, y los clientes, que son las aplicaciones o interfaces que solicitan y presentan información a los usuarios. La comunicación se realiza a través de protocolos de red estándar (TCP/IP).</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8"/>
              <w:left w:val="single" w:color="375623" w:sz="24"/>
              <w:bottom w:val="single" w:color="375623" w:sz="8"/>
              <w:right w:val="single" w:color="375623" w:sz="8"/>
            </w:tcBorders>
            <w:shd w:fill="E2EFDA" w:val="clear"/>
            <w:tcMar>
              <w:top w:type="dxa" w:w="120"/>
              <w:left w:type="dxa" w:w="200"/>
              <w:bottom w:type="dxa" w:w="120"/>
              <w:right w:type="dxa" w:w="120"/>
            </w:tcMar>
          </w:tcPr>
          <w:p>
            <w:r>
              <w:rPr>
                <w:rFonts w:ascii="Arial" w:cs="Arial" w:eastAsia="Arial" w:hAnsi="Arial"/>
                <w:b/>
                <w:bCs/>
                <w:color w:val="375623"/>
                <w:sz w:val="20"/>
                <w:szCs w:val="20"/>
              </w:rPr>
              <w:t xml:space="preserve">🔑 Concepto clave</w:t>
            </w:r>
          </w:p>
          <w:p>
            <w:pPr>
              <w:spacing w:before="60"/>
            </w:pPr>
            <w:r>
              <w:rPr>
                <w:rFonts w:ascii="Arial" w:cs="Arial" w:eastAsia="Arial" w:hAnsi="Arial"/>
                <w:sz w:val="18"/>
                <w:szCs w:val="18"/>
              </w:rPr>
              <w:t xml:space="preserve">Separación de responsabilidades: el servidor es el guardián de los datos; los clientes son los consumidores. Esta división permite que múltiples aplicaciones compartan una misma fuente de datos de forma segura y concurrente.</w:t>
            </w:r>
          </w:p>
        </w:tc>
      </w:tr>
    </w:tbl>
    <w:p>
      <w:pPr>
        <w:spacing w:after="160" w:before="160"/>
      </w:pPr>
    </w:p>
    <w:p>
      <w:pPr>
        <w:pStyle w:val="Heading2"/>
        <w:spacing w:after="120" w:before="240"/>
      </w:pPr>
      <w:r>
        <w:rPr>
          <w:rFonts w:ascii="Arial" w:cs="Arial" w:eastAsia="Arial" w:hAnsi="Arial"/>
          <w:b/>
          <w:bCs/>
          <w:color w:val="2E75B6"/>
          <w:sz w:val="24"/>
          <w:szCs w:val="24"/>
        </w:rPr>
        <w:t xml:space="preserve">3.2 Características Técnicas</w:t>
      </w:r>
    </w:p>
    <w:p>
      <w:pPr>
        <w:pStyle w:val="ListParagraph"/>
        <w:numPr>
          <w:ilvl w:val="0"/>
          <w:numId w:val="2"/>
        </w:numPr>
        <w:spacing w:after="60" w:before="40"/>
      </w:pPr>
      <w:r>
        <w:rPr>
          <w:rFonts w:ascii="Arial" w:cs="Arial" w:eastAsia="Arial" w:hAnsi="Arial"/>
          <w:sz w:val="19"/>
          <w:szCs w:val="19"/>
        </w:rPr>
        <w:t xml:space="preserve">Arquitectura en capas: presentación (cliente), lógica de negocio (middleware/servidor de aplicaciones) y datos (servidor de BD).</w:t>
      </w:r>
    </w:p>
    <w:p>
      <w:pPr>
        <w:pStyle w:val="ListParagraph"/>
        <w:numPr>
          <w:ilvl w:val="0"/>
          <w:numId w:val="2"/>
        </w:numPr>
        <w:spacing w:after="60" w:before="40"/>
      </w:pPr>
      <w:r>
        <w:rPr>
          <w:rFonts w:ascii="Arial" w:cs="Arial" w:eastAsia="Arial" w:hAnsi="Arial"/>
          <w:sz w:val="19"/>
          <w:szCs w:val="19"/>
        </w:rPr>
        <w:t xml:space="preserve">Protocolo de comunicación: SQL sobre TCP/IP, ODBC, JDBC, o APIs REST/GraphQL.</w:t>
      </w:r>
    </w:p>
    <w:p>
      <w:pPr>
        <w:pStyle w:val="ListParagraph"/>
        <w:numPr>
          <w:ilvl w:val="0"/>
          <w:numId w:val="2"/>
        </w:numPr>
        <w:spacing w:after="60" w:before="40"/>
      </w:pPr>
      <w:r>
        <w:rPr>
          <w:rFonts w:ascii="Arial" w:cs="Arial" w:eastAsia="Arial" w:hAnsi="Arial"/>
          <w:sz w:val="19"/>
          <w:szCs w:val="19"/>
        </w:rPr>
        <w:t xml:space="preserve">Control de concurrencia: gestión de múltiples conexiones simultáneas con bloqueos y transacciones ACID.</w:t>
      </w:r>
    </w:p>
    <w:p>
      <w:pPr>
        <w:pStyle w:val="ListParagraph"/>
        <w:numPr>
          <w:ilvl w:val="0"/>
          <w:numId w:val="2"/>
        </w:numPr>
        <w:spacing w:after="60" w:before="40"/>
      </w:pPr>
      <w:r>
        <w:rPr>
          <w:rFonts w:ascii="Arial" w:cs="Arial" w:eastAsia="Arial" w:hAnsi="Arial"/>
          <w:sz w:val="19"/>
          <w:szCs w:val="19"/>
        </w:rPr>
        <w:t xml:space="preserve">Seguridad basada en roles: usuarios, perfiles y permisos gestionados en el servidor.</w:t>
      </w:r>
    </w:p>
    <w:p>
      <w:pPr>
        <w:pStyle w:val="ListParagraph"/>
        <w:numPr>
          <w:ilvl w:val="0"/>
          <w:numId w:val="2"/>
        </w:numPr>
        <w:spacing w:after="60" w:before="40"/>
      </w:pPr>
      <w:r>
        <w:rPr>
          <w:rFonts w:ascii="Arial" w:cs="Arial" w:eastAsia="Arial" w:hAnsi="Arial"/>
          <w:sz w:val="19"/>
          <w:szCs w:val="19"/>
        </w:rPr>
        <w:t xml:space="preserve">Escalabilidad mixta: vertical en el servidor de BD y horizontal en la capa de aplicación.</w:t>
      </w:r>
    </w:p>
    <w:p>
      <w:pPr>
        <w:pStyle w:val="ListParagraph"/>
        <w:numPr>
          <w:ilvl w:val="0"/>
          <w:numId w:val="2"/>
        </w:numPr>
        <w:spacing w:after="60" w:before="40"/>
      </w:pPr>
      <w:r>
        <w:rPr>
          <w:rFonts w:ascii="Arial" w:cs="Arial" w:eastAsia="Arial" w:hAnsi="Arial"/>
          <w:sz w:val="19"/>
          <w:szCs w:val="19"/>
        </w:rPr>
        <w:t xml:space="preserve">Modelo de tres capas (3-tier): separación de interfaz, lógica y persistencia.</w:t>
      </w:r>
    </w:p>
    <w:p>
      <w:pPr>
        <w:spacing w:after="160" w:before="160"/>
      </w:pPr>
    </w:p>
    <w:p>
      <w:pPr>
        <w:pStyle w:val="Heading2"/>
        <w:spacing w:after="120" w:before="240"/>
      </w:pPr>
      <w:r>
        <w:rPr>
          <w:rFonts w:ascii="Arial" w:cs="Arial" w:eastAsia="Arial" w:hAnsi="Arial"/>
          <w:b/>
          <w:bCs/>
          <w:color w:val="2E75B6"/>
          <w:sz w:val="24"/>
          <w:szCs w:val="24"/>
        </w:rPr>
        <w:t xml:space="preserve">3.3 Ventajas y Desventajas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8"/>
              <w:left w:val="single" w:color="1F4E79" w:sz="8"/>
              <w:bottom w:val="single" w:color="1F4E79" w:sz="8"/>
              <w:right w:val="single" w:color="1F4E79" w:sz="8"/>
            </w:tcBorders>
            <w:shd w:fill="37562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Ventajas</w:t>
            </w:r>
          </w:p>
        </w:tc>
        <w:tc>
          <w:tcPr>
            <w:tcW w:type="dxa" w:w="4680"/>
            <w:tcBorders>
              <w:top w:val="single" w:color="1F4E79" w:sz="8"/>
              <w:left w:val="single" w:color="1F4E79" w:sz="8"/>
              <w:bottom w:val="single" w:color="1F4E79" w:sz="8"/>
              <w:right w:val="single" w:color="1F4E79" w:sz="8"/>
            </w:tcBorders>
            <w:shd w:fill="C0000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Desventajas</w:t>
            </w:r>
          </w:p>
        </w:tc>
      </w:tr>
      <w:tr>
        <w:tc>
          <w:tcPr>
            <w:tcW w:type="dxa" w:w="4680"/>
            <w:tcBorders>
              <w:top w:val="single" w:color="CCCCCC" w:sz="8"/>
              <w:left w:val="single" w:color="CCCCCC" w:sz="8"/>
              <w:bottom w:val="single" w:color="CCCCCC" w:sz="8"/>
              <w:right w:val="single" w:color="CCCCCC" w:sz="8"/>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Separación clara de responsabilidades (MVC/n-tier)</w:t>
            </w:r>
          </w:p>
        </w:tc>
        <w:tc>
          <w:tcPr>
            <w:tcW w:type="dxa" w:w="4680"/>
            <w:tcBorders>
              <w:top w:val="single" w:color="CCCCCC" w:sz="8"/>
              <w:left w:val="single" w:color="CCCCCC" w:sz="8"/>
              <w:bottom w:val="single" w:color="CCCCCC" w:sz="8"/>
              <w:right w:val="single" w:color="CCCCCC" w:sz="8"/>
            </w:tcBorders>
            <w:shd w:fill="FFDFD6"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Dependencia de la red: si la red falla, los clientes pierden acceso</w:t>
            </w:r>
          </w:p>
        </w:tc>
      </w:tr>
      <w:tr>
        <w:tc>
          <w:tcPr>
            <w:tcW w:type="dxa" w:w="468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Múltiples clientes comparten la misma BD</w:t>
            </w:r>
          </w:p>
        </w:tc>
        <w:tc>
          <w:tcPr>
            <w:tcW w:type="dxa" w:w="468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El servidor sigue siendo un punto de fallo (mitigable con clustering)</w:t>
            </w:r>
          </w:p>
        </w:tc>
      </w:tr>
      <w:tr>
        <w:tc>
          <w:tcPr>
            <w:tcW w:type="dxa" w:w="4680"/>
            <w:tcBorders>
              <w:top w:val="single" w:color="CCCCCC" w:sz="8"/>
              <w:left w:val="single" w:color="CCCCCC" w:sz="8"/>
              <w:bottom w:val="single" w:color="CCCCCC" w:sz="8"/>
              <w:right w:val="single" w:color="CCCCCC" w:sz="8"/>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Seguridad granular: roles, perfiles y permisos</w:t>
            </w:r>
          </w:p>
        </w:tc>
        <w:tc>
          <w:tcPr>
            <w:tcW w:type="dxa" w:w="4680"/>
            <w:tcBorders>
              <w:top w:val="single" w:color="CCCCCC" w:sz="8"/>
              <w:left w:val="single" w:color="CCCCCC" w:sz="8"/>
              <w:bottom w:val="single" w:color="CCCCCC" w:sz="8"/>
              <w:right w:val="single" w:color="CCCCCC" w:sz="8"/>
            </w:tcBorders>
            <w:shd w:fill="FFDFD6"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Costo de licencias para DBMS enterprise</w:t>
            </w:r>
          </w:p>
        </w:tc>
      </w:tr>
      <w:tr>
        <w:tc>
          <w:tcPr>
            <w:tcW w:type="dxa" w:w="468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Mantenimiento modular (actualizar cliente sin tocar BD)</w:t>
            </w:r>
          </w:p>
        </w:tc>
        <w:tc>
          <w:tcPr>
            <w:tcW w:type="dxa" w:w="468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Configuración y administración más complejas que la centralizada</w:t>
            </w:r>
          </w:p>
        </w:tc>
      </w:tr>
      <w:tr>
        <w:tc>
          <w:tcPr>
            <w:tcW w:type="dxa" w:w="4680"/>
            <w:tcBorders>
              <w:top w:val="single" w:color="CCCCCC" w:sz="8"/>
              <w:left w:val="single" w:color="CCCCCC" w:sz="8"/>
              <w:bottom w:val="single" w:color="CCCCCC" w:sz="8"/>
              <w:right w:val="single" w:color="CCCCCC" w:sz="8"/>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Escalabilidad de la capa de aplicación</w:t>
            </w:r>
          </w:p>
        </w:tc>
        <w:tc>
          <w:tcPr>
            <w:tcW w:type="dxa" w:w="4680"/>
            <w:tcBorders>
              <w:top w:val="single" w:color="CCCCCC" w:sz="8"/>
              <w:left w:val="single" w:color="CCCCCC" w:sz="8"/>
              <w:bottom w:val="single" w:color="CCCCCC" w:sz="8"/>
              <w:right w:val="single" w:color="CCCCCC" w:sz="8"/>
            </w:tcBorders>
            <w:shd w:fill="FFDFD6"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Latencia variable según la carga de red</w:t>
            </w:r>
          </w:p>
        </w:tc>
      </w:tr>
      <w:tr>
        <w:tc>
          <w:tcPr>
            <w:tcW w:type="dxa" w:w="468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Soporte robusto para transacciones ACID y concurrencia</w:t>
            </w:r>
          </w:p>
        </w:tc>
        <w:tc>
          <w:tcPr>
            <w:tcW w:type="dxa" w:w="468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Requiere personal especializado en DBA</w:t>
            </w:r>
          </w:p>
        </w:tc>
      </w:tr>
    </w:tbl>
    <w:p>
      <w:pPr>
        <w:spacing w:after="160" w:before="160"/>
      </w:pPr>
    </w:p>
    <w:p>
      <w:pPr>
        <w:pStyle w:val="Heading2"/>
        <w:spacing w:after="120" w:before="240"/>
      </w:pPr>
      <w:r>
        <w:rPr>
          <w:rFonts w:ascii="Arial" w:cs="Arial" w:eastAsia="Arial" w:hAnsi="Arial"/>
          <w:b/>
          <w:bCs/>
          <w:color w:val="2E75B6"/>
          <w:sz w:val="24"/>
          <w:szCs w:val="24"/>
        </w:rPr>
        <w:t xml:space="preserve">3.4 Ejemplos de Implementación con DBMS Actuales</w:t>
      </w:r>
    </w:p>
    <w:p>
      <w:pPr>
        <w:pStyle w:val="ListParagraph"/>
        <w:numPr>
          <w:ilvl w:val="0"/>
          <w:numId w:val="2"/>
        </w:numPr>
        <w:spacing w:after="60" w:before="40"/>
      </w:pPr>
      <w:r>
        <w:rPr>
          <w:rFonts w:ascii="Arial" w:cs="Arial" w:eastAsia="Arial" w:hAnsi="Arial"/>
          <w:sz w:val="19"/>
          <w:szCs w:val="19"/>
        </w:rPr>
        <w:t xml:space="preserve">MySQL 8.x / MariaDB: el DBMS open-source más popular para aplicaciones web (WordPress, Moodle, ERP). Ampliamente usado en LAMP/LEMP.</w:t>
      </w:r>
    </w:p>
    <w:p>
      <w:pPr>
        <w:pStyle w:val="ListParagraph"/>
        <w:numPr>
          <w:ilvl w:val="0"/>
          <w:numId w:val="2"/>
        </w:numPr>
        <w:spacing w:after="60" w:before="40"/>
      </w:pPr>
      <w:r>
        <w:rPr>
          <w:rFonts w:ascii="Arial" w:cs="Arial" w:eastAsia="Arial" w:hAnsi="Arial"/>
          <w:sz w:val="19"/>
          <w:szCs w:val="19"/>
        </w:rPr>
        <w:t xml:space="preserve">PostgreSQL 16: motor relacional avanzado con soporte para JSON, extensiones geoespaciales (PostGIS) y replicación. Preferido por su robustez y conformidad con estándares SQL.</w:t>
      </w:r>
    </w:p>
    <w:p>
      <w:pPr>
        <w:pStyle w:val="ListParagraph"/>
        <w:numPr>
          <w:ilvl w:val="0"/>
          <w:numId w:val="2"/>
        </w:numPr>
        <w:spacing w:after="60" w:before="40"/>
      </w:pPr>
      <w:r>
        <w:rPr>
          <w:rFonts w:ascii="Arial" w:cs="Arial" w:eastAsia="Arial" w:hAnsi="Arial"/>
          <w:sz w:val="19"/>
          <w:szCs w:val="19"/>
        </w:rPr>
        <w:t xml:space="preserve">Microsoft SQL Server 2022: solución empresarial con integración nativa con el ecosistema Microsoft (Azure, Power BI, .NET).</w:t>
      </w:r>
    </w:p>
    <w:p>
      <w:pPr>
        <w:pStyle w:val="ListParagraph"/>
        <w:numPr>
          <w:ilvl w:val="0"/>
          <w:numId w:val="2"/>
        </w:numPr>
        <w:spacing w:after="60" w:before="40"/>
      </w:pPr>
      <w:r>
        <w:rPr>
          <w:rFonts w:ascii="Arial" w:cs="Arial" w:eastAsia="Arial" w:hAnsi="Arial"/>
          <w:sz w:val="19"/>
          <w:szCs w:val="19"/>
        </w:rPr>
        <w:t xml:space="preserve">Oracle Database Enterprise Edition: referente en banca, telecomunicaciones y gobierno por su alto rendimiento y características avanzadas.</w:t>
      </w:r>
    </w:p>
    <w:p>
      <w:pPr>
        <w:pStyle w:val="ListParagraph"/>
        <w:numPr>
          <w:ilvl w:val="0"/>
          <w:numId w:val="2"/>
        </w:numPr>
        <w:spacing w:after="60" w:before="40"/>
      </w:pPr>
      <w:r>
        <w:rPr>
          <w:rFonts w:ascii="Arial" w:cs="Arial" w:eastAsia="Arial" w:hAnsi="Arial"/>
          <w:sz w:val="19"/>
          <w:szCs w:val="19"/>
        </w:rPr>
        <w:t xml:space="preserve">IBM Db2 (modo cliente-servidor): usado en entornos financieros con alta demanda transaccional.</w:t>
      </w:r>
    </w:p>
    <w:p>
      <w:pPr>
        <w:spacing w:after="80" w:before="80"/>
      </w:pPr>
    </w:p>
    <w:p>
      <w:pPr>
        <w:spacing w:after="120" w:before="0" w:line="276"/>
        <w:jc w:val="both"/>
      </w:pPr>
      <w:r>
        <w:rPr>
          <w:rFonts w:ascii="Arial" w:cs="Arial" w:eastAsia="Arial" w:hAnsi="Arial"/>
          <w:b/>
          <w:bCs/>
          <w:i w:val="false"/>
          <w:iCs w:val="false"/>
          <w:color w:val="000000"/>
          <w:sz w:val="20"/>
          <w:szCs w:val="20"/>
        </w:rPr>
        <w:t xml:space="preserve">Casos de uso típicos:</w:t>
      </w:r>
    </w:p>
    <w:p>
      <w:pPr>
        <w:pStyle w:val="ListParagraph"/>
        <w:numPr>
          <w:ilvl w:val="0"/>
          <w:numId w:val="3"/>
        </w:numPr>
        <w:spacing w:after="40" w:before="20"/>
      </w:pPr>
      <w:r>
        <w:rPr>
          <w:rFonts w:ascii="Arial" w:cs="Arial" w:eastAsia="Arial" w:hAnsi="Arial"/>
          <w:i/>
          <w:iCs/>
          <w:sz w:val="18"/>
          <w:szCs w:val="18"/>
        </w:rPr>
        <w:t xml:space="preserve">Sistemas de información empresariales (ERP, CRM, HIS).</w:t>
      </w:r>
    </w:p>
    <w:p>
      <w:pPr>
        <w:pStyle w:val="ListParagraph"/>
        <w:numPr>
          <w:ilvl w:val="0"/>
          <w:numId w:val="3"/>
        </w:numPr>
        <w:spacing w:after="40" w:before="20"/>
      </w:pPr>
      <w:r>
        <w:rPr>
          <w:rFonts w:ascii="Arial" w:cs="Arial" w:eastAsia="Arial" w:hAnsi="Arial"/>
          <w:i/>
          <w:iCs/>
          <w:sz w:val="18"/>
          <w:szCs w:val="18"/>
        </w:rPr>
        <w:t xml:space="preserve">Aplicaciones web con alta concurrencia.</w:t>
      </w:r>
    </w:p>
    <w:p>
      <w:pPr>
        <w:pStyle w:val="ListParagraph"/>
        <w:numPr>
          <w:ilvl w:val="0"/>
          <w:numId w:val="3"/>
        </w:numPr>
        <w:spacing w:after="40" w:before="20"/>
      </w:pPr>
      <w:r>
        <w:rPr>
          <w:rFonts w:ascii="Arial" w:cs="Arial" w:eastAsia="Arial" w:hAnsi="Arial"/>
          <w:i/>
          <w:iCs/>
          <w:sz w:val="18"/>
          <w:szCs w:val="18"/>
        </w:rPr>
        <w:t xml:space="preserve">Sistemas académicos, hospitalarios y gubernamentales.</w:t>
      </w:r>
    </w:p>
    <w:p>
      <w:pPr>
        <w:pStyle w:val="ListParagraph"/>
        <w:numPr>
          <w:ilvl w:val="0"/>
          <w:numId w:val="3"/>
        </w:numPr>
        <w:spacing w:after="40" w:before="20"/>
      </w:pPr>
      <w:r>
        <w:rPr>
          <w:rFonts w:ascii="Arial" w:cs="Arial" w:eastAsia="Arial" w:hAnsi="Arial"/>
          <w:i/>
          <w:iCs/>
          <w:sz w:val="18"/>
          <w:szCs w:val="18"/>
        </w:rPr>
        <w:t xml:space="preserve">E-commerce de mediana escala.</w:t>
      </w:r>
    </w:p>
    <w:p>
      <w:r>
        <w:br w:type="page"/>
      </w:r>
    </w:p>
    <w:p>
      <w:pPr>
        <w:pStyle w:val="Heading1"/>
        <w:spacing w:after="180" w:before="360"/>
      </w:pPr>
      <w:r>
        <w:rPr>
          <w:rFonts w:ascii="Arial" w:cs="Arial" w:eastAsia="Arial" w:hAnsi="Arial"/>
          <w:b/>
          <w:bCs/>
          <w:color w:val="1F4E79"/>
          <w:sz w:val="28"/>
          <w:szCs w:val="28"/>
        </w:rPr>
        <w:t xml:space="preserve">4. Arquitectura Distribuida</w:t>
      </w:r>
    </w:p>
    <w:p>
      <w:pPr>
        <w:pStyle w:val="Heading2"/>
        <w:spacing w:after="120" w:before="240"/>
      </w:pPr>
      <w:r>
        <w:rPr>
          <w:rFonts w:ascii="Arial" w:cs="Arial" w:eastAsia="Arial" w:hAnsi="Arial"/>
          <w:b/>
          <w:bCs/>
          <w:color w:val="2E75B6"/>
          <w:sz w:val="24"/>
          <w:szCs w:val="24"/>
        </w:rPr>
        <w:t xml:space="preserve">4.1 Definición</w:t>
      </w:r>
    </w:p>
    <w:p>
      <w:pPr>
        <w:spacing w:after="120" w:before="0" w:line="276"/>
        <w:jc w:val="both"/>
      </w:pPr>
      <w:r>
        <w:rPr>
          <w:rFonts w:ascii="Arial" w:cs="Arial" w:eastAsia="Arial" w:hAnsi="Arial"/>
          <w:b w:val="false"/>
          <w:bCs w:val="false"/>
          <w:i w:val="false"/>
          <w:iCs w:val="false"/>
          <w:color w:val="000000"/>
          <w:sz w:val="20"/>
          <w:szCs w:val="20"/>
        </w:rPr>
        <w:t xml:space="preserve">En la arquitectura de bases de datos distribuidas, los datos se fragmentan (sharding) y/o replican a través de múltiples nodos independientes que pueden estar físicamente ubicados en distintos servidores, centros de datos o regiones geográficas. Cada nodo puede procesar consultas localmente, pero el sistema actúa como una única base de datos lógica para las aplicaciones.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8"/>
              <w:left w:val="single" w:color="7F6000" w:sz="24"/>
              <w:bottom w:val="single" w:color="7F6000" w:sz="8"/>
              <w:right w:val="single" w:color="7F6000" w:sz="8"/>
            </w:tcBorders>
            <w:shd w:fill="FFF2CC" w:val="clear"/>
            <w:tcMar>
              <w:top w:type="dxa" w:w="120"/>
              <w:left w:type="dxa" w:w="200"/>
              <w:bottom w:type="dxa" w:w="120"/>
              <w:right w:type="dxa" w:w="120"/>
            </w:tcMar>
          </w:tcPr>
          <w:p>
            <w:r>
              <w:rPr>
                <w:rFonts w:ascii="Arial" w:cs="Arial" w:eastAsia="Arial" w:hAnsi="Arial"/>
                <w:b/>
                <w:bCs/>
                <w:color w:val="7F6000"/>
                <w:sz w:val="20"/>
                <w:szCs w:val="20"/>
              </w:rPr>
              <w:t xml:space="preserve">🔑 Concepto clave</w:t>
            </w:r>
          </w:p>
          <w:p>
            <w:pPr>
              <w:spacing w:before="60"/>
            </w:pPr>
            <w:r>
              <w:rPr>
                <w:rFonts w:ascii="Arial" w:cs="Arial" w:eastAsia="Arial" w:hAnsi="Arial"/>
                <w:sz w:val="18"/>
                <w:szCs w:val="18"/>
              </w:rPr>
              <w:t xml:space="preserve">El Teorema CAP (Brewer, 2000) establece que un sistema distribuido solo puede garantizar simultáneamente dos de tres propiedades: Consistencia (C), Disponibilidad (A) y Tolerancia a particiones (P). Los DBMS distribuidos deben elegir sus compromisos (e.g., CP o AP).</w:t>
            </w:r>
          </w:p>
        </w:tc>
      </w:tr>
    </w:tbl>
    <w:p>
      <w:pPr>
        <w:spacing w:after="160" w:before="160"/>
      </w:pPr>
    </w:p>
    <w:p>
      <w:pPr>
        <w:pStyle w:val="Heading2"/>
        <w:spacing w:after="120" w:before="240"/>
      </w:pPr>
      <w:r>
        <w:rPr>
          <w:rFonts w:ascii="Arial" w:cs="Arial" w:eastAsia="Arial" w:hAnsi="Arial"/>
          <w:b/>
          <w:bCs/>
          <w:color w:val="2E75B6"/>
          <w:sz w:val="24"/>
          <w:szCs w:val="24"/>
        </w:rPr>
        <w:t xml:space="preserve">4.2 Características Técnicas</w:t>
      </w:r>
    </w:p>
    <w:p>
      <w:pPr>
        <w:pStyle w:val="ListParagraph"/>
        <w:numPr>
          <w:ilvl w:val="0"/>
          <w:numId w:val="2"/>
        </w:numPr>
        <w:spacing w:after="60" w:before="40"/>
      </w:pPr>
      <w:r>
        <w:rPr>
          <w:rFonts w:ascii="Arial" w:cs="Arial" w:eastAsia="Arial" w:hAnsi="Arial"/>
          <w:sz w:val="19"/>
          <w:szCs w:val="19"/>
        </w:rPr>
        <w:t xml:space="preserve">Fragmentación: los datos se dividen en shards (horizontal) o particiones (vertical) distribuidas en múltiples nodos.</w:t>
      </w:r>
    </w:p>
    <w:p>
      <w:pPr>
        <w:pStyle w:val="ListParagraph"/>
        <w:numPr>
          <w:ilvl w:val="0"/>
          <w:numId w:val="2"/>
        </w:numPr>
        <w:spacing w:after="60" w:before="40"/>
      </w:pPr>
      <w:r>
        <w:rPr>
          <w:rFonts w:ascii="Arial" w:cs="Arial" w:eastAsia="Arial" w:hAnsi="Arial"/>
          <w:sz w:val="19"/>
          <w:szCs w:val="19"/>
        </w:rPr>
        <w:t xml:space="preserve">Replicación: copias de datos en múltiples nodos para garantizar disponibilidad y tolerancia a fallos.</w:t>
      </w:r>
    </w:p>
    <w:p>
      <w:pPr>
        <w:pStyle w:val="ListParagraph"/>
        <w:numPr>
          <w:ilvl w:val="0"/>
          <w:numId w:val="2"/>
        </w:numPr>
        <w:spacing w:after="60" w:before="40"/>
      </w:pPr>
      <w:r>
        <w:rPr>
          <w:rFonts w:ascii="Arial" w:cs="Arial" w:eastAsia="Arial" w:hAnsi="Arial"/>
          <w:sz w:val="19"/>
          <w:szCs w:val="19"/>
        </w:rPr>
        <w:t xml:space="preserve">Transparencia de distribución: las aplicaciones ven una única BD lógica sin conocer la distribución física.</w:t>
      </w:r>
    </w:p>
    <w:p>
      <w:pPr>
        <w:pStyle w:val="ListParagraph"/>
        <w:numPr>
          <w:ilvl w:val="0"/>
          <w:numId w:val="2"/>
        </w:numPr>
        <w:spacing w:after="60" w:before="40"/>
      </w:pPr>
      <w:r>
        <w:rPr>
          <w:rFonts w:ascii="Arial" w:cs="Arial" w:eastAsia="Arial" w:hAnsi="Arial"/>
          <w:sz w:val="19"/>
          <w:szCs w:val="19"/>
        </w:rPr>
        <w:t xml:space="preserve">Consistencia eventual: en sistemas AP, los nodos convergen hacia un estado consistente, aunque no de forma inmediata.</w:t>
      </w:r>
    </w:p>
    <w:p>
      <w:pPr>
        <w:pStyle w:val="ListParagraph"/>
        <w:numPr>
          <w:ilvl w:val="0"/>
          <w:numId w:val="2"/>
        </w:numPr>
        <w:spacing w:after="60" w:before="40"/>
      </w:pPr>
      <w:r>
        <w:rPr>
          <w:rFonts w:ascii="Arial" w:cs="Arial" w:eastAsia="Arial" w:hAnsi="Arial"/>
          <w:sz w:val="19"/>
          <w:szCs w:val="19"/>
        </w:rPr>
        <w:t xml:space="preserve">Sin SPOF (Single Point of Failure): la caída de un nodo no detiene el sistema.</w:t>
      </w:r>
    </w:p>
    <w:p>
      <w:pPr>
        <w:pStyle w:val="ListParagraph"/>
        <w:numPr>
          <w:ilvl w:val="0"/>
          <w:numId w:val="2"/>
        </w:numPr>
        <w:spacing w:after="60" w:before="40"/>
      </w:pPr>
      <w:r>
        <w:rPr>
          <w:rFonts w:ascii="Arial" w:cs="Arial" w:eastAsia="Arial" w:hAnsi="Arial"/>
          <w:sz w:val="19"/>
          <w:szCs w:val="19"/>
        </w:rPr>
        <w:t xml:space="preserve">Escalabilidad horizontal: se añaden nodos para incrementar capacidad sin límite teórico.</w:t>
      </w:r>
    </w:p>
    <w:p>
      <w:pPr>
        <w:pStyle w:val="ListParagraph"/>
        <w:numPr>
          <w:ilvl w:val="0"/>
          <w:numId w:val="2"/>
        </w:numPr>
        <w:spacing w:after="60" w:before="40"/>
      </w:pPr>
      <w:r>
        <w:rPr>
          <w:rFonts w:ascii="Arial" w:cs="Arial" w:eastAsia="Arial" w:hAnsi="Arial"/>
          <w:sz w:val="19"/>
          <w:szCs w:val="19"/>
        </w:rPr>
        <w:t xml:space="preserve">Coordinación distribuida: algoritmos de consenso (Raft, Paxos) para elecciones de líder y commits distribuidos.</w:t>
      </w:r>
    </w:p>
    <w:p>
      <w:pPr>
        <w:spacing w:after="160" w:before="160"/>
      </w:pPr>
    </w:p>
    <w:p>
      <w:pPr>
        <w:pStyle w:val="Heading2"/>
        <w:spacing w:after="120" w:before="240"/>
      </w:pPr>
      <w:r>
        <w:rPr>
          <w:rFonts w:ascii="Arial" w:cs="Arial" w:eastAsia="Arial" w:hAnsi="Arial"/>
          <w:b/>
          <w:bCs/>
          <w:color w:val="2E75B6"/>
          <w:sz w:val="24"/>
          <w:szCs w:val="24"/>
        </w:rPr>
        <w:t xml:space="preserve">4.3 Ventajas y Desventajas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8"/>
              <w:left w:val="single" w:color="1F4E79" w:sz="8"/>
              <w:bottom w:val="single" w:color="1F4E79" w:sz="8"/>
              <w:right w:val="single" w:color="1F4E79" w:sz="8"/>
            </w:tcBorders>
            <w:shd w:fill="37562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Ventajas</w:t>
            </w:r>
          </w:p>
        </w:tc>
        <w:tc>
          <w:tcPr>
            <w:tcW w:type="dxa" w:w="4680"/>
            <w:tcBorders>
              <w:top w:val="single" w:color="1F4E79" w:sz="8"/>
              <w:left w:val="single" w:color="1F4E79" w:sz="8"/>
              <w:bottom w:val="single" w:color="1F4E79" w:sz="8"/>
              <w:right w:val="single" w:color="1F4E79" w:sz="8"/>
            </w:tcBorders>
            <w:shd w:fill="C0000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Desventajas</w:t>
            </w:r>
          </w:p>
        </w:tc>
      </w:tr>
      <w:tr>
        <w:tc>
          <w:tcPr>
            <w:tcW w:type="dxa" w:w="4680"/>
            <w:tcBorders>
              <w:top w:val="single" w:color="CCCCCC" w:sz="8"/>
              <w:left w:val="single" w:color="CCCCCC" w:sz="8"/>
              <w:bottom w:val="single" w:color="CCCCCC" w:sz="8"/>
              <w:right w:val="single" w:color="CCCCCC" w:sz="8"/>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Alta disponibilidad: el sistema continúa operando ante fallos de nodos</w:t>
            </w:r>
          </w:p>
        </w:tc>
        <w:tc>
          <w:tcPr>
            <w:tcW w:type="dxa" w:w="4680"/>
            <w:tcBorders>
              <w:top w:val="single" w:color="CCCCCC" w:sz="8"/>
              <w:left w:val="single" w:color="CCCCCC" w:sz="8"/>
              <w:bottom w:val="single" w:color="CCCCCC" w:sz="8"/>
              <w:right w:val="single" w:color="CCCCCC" w:sz="8"/>
            </w:tcBorders>
            <w:shd w:fill="FFDFD6"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Alta complejidad operativa y de configuración</w:t>
            </w:r>
          </w:p>
        </w:tc>
      </w:tr>
      <w:tr>
        <w:tc>
          <w:tcPr>
            <w:tcW w:type="dxa" w:w="468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Escalabilidad horizontal casi ilimitada (sharding automático)</w:t>
            </w:r>
          </w:p>
        </w:tc>
        <w:tc>
          <w:tcPr>
            <w:tcW w:type="dxa" w:w="468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Consistencia eventual: puede haber lecturas de datos desactualizados</w:t>
            </w:r>
          </w:p>
        </w:tc>
      </w:tr>
      <w:tr>
        <w:tc>
          <w:tcPr>
            <w:tcW w:type="dxa" w:w="4680"/>
            <w:tcBorders>
              <w:top w:val="single" w:color="CCCCCC" w:sz="8"/>
              <w:left w:val="single" w:color="CCCCCC" w:sz="8"/>
              <w:bottom w:val="single" w:color="CCCCCC" w:sz="8"/>
              <w:right w:val="single" w:color="CCCCCC" w:sz="8"/>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Sin punto único de fallo (alta tolerancia a fallos)</w:t>
            </w:r>
          </w:p>
        </w:tc>
        <w:tc>
          <w:tcPr>
            <w:tcW w:type="dxa" w:w="4680"/>
            <w:tcBorders>
              <w:top w:val="single" w:color="CCCCCC" w:sz="8"/>
              <w:left w:val="single" w:color="CCCCCC" w:sz="8"/>
              <w:bottom w:val="single" w:color="CCCCCC" w:sz="8"/>
              <w:right w:val="single" w:color="CCCCCC" w:sz="8"/>
            </w:tcBorders>
            <w:shd w:fill="FFDFD6"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Debugging y monitoreo más difíciles</w:t>
            </w:r>
          </w:p>
        </w:tc>
      </w:tr>
      <w:tr>
        <w:tc>
          <w:tcPr>
            <w:tcW w:type="dxa" w:w="468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Distribución geográfica: datos cerca del usuario = baja latencia</w:t>
            </w:r>
          </w:p>
        </w:tc>
        <w:tc>
          <w:tcPr>
            <w:tcW w:type="dxa" w:w="468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Costos operativos altos (infraestructura multi-nodo)</w:t>
            </w:r>
          </w:p>
        </w:tc>
      </w:tr>
      <w:tr>
        <w:tc>
          <w:tcPr>
            <w:tcW w:type="dxa" w:w="4680"/>
            <w:tcBorders>
              <w:top w:val="single" w:color="CCCCCC" w:sz="8"/>
              <w:left w:val="single" w:color="CCCCCC" w:sz="8"/>
              <w:bottom w:val="single" w:color="CCCCCC" w:sz="8"/>
              <w:right w:val="single" w:color="CCCCCC" w:sz="8"/>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Soporte para Big Data y cargas masivas de lectura/escritura</w:t>
            </w:r>
          </w:p>
        </w:tc>
        <w:tc>
          <w:tcPr>
            <w:tcW w:type="dxa" w:w="4680"/>
            <w:tcBorders>
              <w:top w:val="single" w:color="CCCCCC" w:sz="8"/>
              <w:left w:val="single" w:color="CCCCCC" w:sz="8"/>
              <w:bottom w:val="single" w:color="CCCCCC" w:sz="8"/>
              <w:right w:val="single" w:color="CCCCCC" w:sz="8"/>
            </w:tcBorders>
            <w:shd w:fill="FFDFD6"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Transacciones distribuidas complejas (2PC, Saga pattern)</w:t>
            </w:r>
          </w:p>
        </w:tc>
      </w:tr>
      <w:tr>
        <w:tc>
          <w:tcPr>
            <w:tcW w:type="dxa" w:w="468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Ideal para microservicios y arquitecturas cloud-native</w:t>
            </w:r>
          </w:p>
        </w:tc>
        <w:tc>
          <w:tcPr>
            <w:tcW w:type="dxa" w:w="468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Requiere equipo con expertise en sistemas distribuidos</w:t>
            </w:r>
          </w:p>
        </w:tc>
      </w:tr>
    </w:tbl>
    <w:p>
      <w:pPr>
        <w:spacing w:after="160" w:before="160"/>
      </w:pPr>
    </w:p>
    <w:p>
      <w:pPr>
        <w:pStyle w:val="Heading2"/>
        <w:spacing w:after="120" w:before="240"/>
      </w:pPr>
      <w:r>
        <w:rPr>
          <w:rFonts w:ascii="Arial" w:cs="Arial" w:eastAsia="Arial" w:hAnsi="Arial"/>
          <w:b/>
          <w:bCs/>
          <w:color w:val="2E75B6"/>
          <w:sz w:val="24"/>
          <w:szCs w:val="24"/>
        </w:rPr>
        <w:t xml:space="preserve">4.4 Ejemplos de Implementación con DBMS Actuales</w:t>
      </w:r>
    </w:p>
    <w:p>
      <w:pPr>
        <w:pStyle w:val="ListParagraph"/>
        <w:numPr>
          <w:ilvl w:val="0"/>
          <w:numId w:val="2"/>
        </w:numPr>
        <w:spacing w:after="60" w:before="40"/>
      </w:pPr>
      <w:r>
        <w:rPr>
          <w:rFonts w:ascii="Arial" w:cs="Arial" w:eastAsia="Arial" w:hAnsi="Arial"/>
          <w:sz w:val="19"/>
          <w:szCs w:val="19"/>
        </w:rPr>
        <w:t xml:space="preserve">Apache Cassandra: BD NoSQL orientada a columnas, diseñada para alta disponibilidad sin SPOF. Modelo AP. Usada por Netflix, Instagram.</w:t>
      </w:r>
    </w:p>
    <w:p>
      <w:pPr>
        <w:pStyle w:val="ListParagraph"/>
        <w:numPr>
          <w:ilvl w:val="0"/>
          <w:numId w:val="2"/>
        </w:numPr>
        <w:spacing w:after="60" w:before="40"/>
      </w:pPr>
      <w:r>
        <w:rPr>
          <w:rFonts w:ascii="Arial" w:cs="Arial" w:eastAsia="Arial" w:hAnsi="Arial"/>
          <w:sz w:val="19"/>
          <w:szCs w:val="19"/>
        </w:rPr>
        <w:t xml:space="preserve">MongoDB Atlas: BD documental con sharding automático y replicación global. Ideal para datos semiestructurados y APIs REST.</w:t>
      </w:r>
    </w:p>
    <w:p>
      <w:pPr>
        <w:pStyle w:val="ListParagraph"/>
        <w:numPr>
          <w:ilvl w:val="0"/>
          <w:numId w:val="2"/>
        </w:numPr>
        <w:spacing w:after="60" w:before="40"/>
      </w:pPr>
      <w:r>
        <w:rPr>
          <w:rFonts w:ascii="Arial" w:cs="Arial" w:eastAsia="Arial" w:hAnsi="Arial"/>
          <w:sz w:val="19"/>
          <w:szCs w:val="19"/>
        </w:rPr>
        <w:t xml:space="preserve">Google Cloud Spanner: DBMS NewSQL que combina consistencia ACID global con escalabilidad distribuida. Usado por Google Ads, fintech.</w:t>
      </w:r>
    </w:p>
    <w:p>
      <w:pPr>
        <w:pStyle w:val="ListParagraph"/>
        <w:numPr>
          <w:ilvl w:val="0"/>
          <w:numId w:val="2"/>
        </w:numPr>
        <w:spacing w:after="60" w:before="40"/>
      </w:pPr>
      <w:r>
        <w:rPr>
          <w:rFonts w:ascii="Arial" w:cs="Arial" w:eastAsia="Arial" w:hAnsi="Arial"/>
          <w:sz w:val="19"/>
          <w:szCs w:val="19"/>
        </w:rPr>
        <w:t xml:space="preserve">CockroachDB: BD SQL distribuida con protocolo Raft. Compatible con PostgreSQL. Garantiza consistencia global (CP).</w:t>
      </w:r>
    </w:p>
    <w:p>
      <w:pPr>
        <w:pStyle w:val="ListParagraph"/>
        <w:numPr>
          <w:ilvl w:val="0"/>
          <w:numId w:val="2"/>
        </w:numPr>
        <w:spacing w:after="60" w:before="40"/>
      </w:pPr>
      <w:r>
        <w:rPr>
          <w:rFonts w:ascii="Arial" w:cs="Arial" w:eastAsia="Arial" w:hAnsi="Arial"/>
          <w:sz w:val="19"/>
          <w:szCs w:val="19"/>
        </w:rPr>
        <w:t xml:space="preserve">Amazon DynamoDB: servicio gestionado de BD NoSQL clave-valor con rendimiento de milisegundos. Modelo AP. Usado masivamente en AWS.</w:t>
      </w:r>
    </w:p>
    <w:p>
      <w:pPr>
        <w:pStyle w:val="ListParagraph"/>
        <w:numPr>
          <w:ilvl w:val="0"/>
          <w:numId w:val="2"/>
        </w:numPr>
        <w:spacing w:after="60" w:before="40"/>
      </w:pPr>
      <w:r>
        <w:rPr>
          <w:rFonts w:ascii="Arial" w:cs="Arial" w:eastAsia="Arial" w:hAnsi="Arial"/>
          <w:sz w:val="19"/>
          <w:szCs w:val="19"/>
        </w:rPr>
        <w:t xml:space="preserve">Redis Cluster: almacén de datos en memoria distribuido para caché, sesiones y pub/sub. Latencia sub-milisegundo.</w:t>
      </w:r>
    </w:p>
    <w:p>
      <w:pPr>
        <w:spacing w:after="80" w:before="80"/>
      </w:pPr>
    </w:p>
    <w:p>
      <w:pPr>
        <w:spacing w:after="120" w:before="0" w:line="276"/>
        <w:jc w:val="both"/>
      </w:pPr>
      <w:r>
        <w:rPr>
          <w:rFonts w:ascii="Arial" w:cs="Arial" w:eastAsia="Arial" w:hAnsi="Arial"/>
          <w:b/>
          <w:bCs/>
          <w:i w:val="false"/>
          <w:iCs w:val="false"/>
          <w:color w:val="000000"/>
          <w:sz w:val="20"/>
          <w:szCs w:val="20"/>
        </w:rPr>
        <w:t xml:space="preserve">Casos de uso típicos:</w:t>
      </w:r>
    </w:p>
    <w:p>
      <w:pPr>
        <w:pStyle w:val="ListParagraph"/>
        <w:numPr>
          <w:ilvl w:val="0"/>
          <w:numId w:val="3"/>
        </w:numPr>
        <w:spacing w:after="40" w:before="20"/>
      </w:pPr>
      <w:r>
        <w:rPr>
          <w:rFonts w:ascii="Arial" w:cs="Arial" w:eastAsia="Arial" w:hAnsi="Arial"/>
          <w:i/>
          <w:iCs/>
          <w:sz w:val="18"/>
          <w:szCs w:val="18"/>
        </w:rPr>
        <w:t xml:space="preserve">Redes sociales y aplicaciones con millones de usuarios.</w:t>
      </w:r>
    </w:p>
    <w:p>
      <w:pPr>
        <w:pStyle w:val="ListParagraph"/>
        <w:numPr>
          <w:ilvl w:val="0"/>
          <w:numId w:val="3"/>
        </w:numPr>
        <w:spacing w:after="40" w:before="20"/>
      </w:pPr>
      <w:r>
        <w:rPr>
          <w:rFonts w:ascii="Arial" w:cs="Arial" w:eastAsia="Arial" w:hAnsi="Arial"/>
          <w:i/>
          <w:iCs/>
          <w:sz w:val="18"/>
          <w:szCs w:val="18"/>
        </w:rPr>
        <w:t xml:space="preserve">IoT y telemetría en tiempo real.</w:t>
      </w:r>
    </w:p>
    <w:p>
      <w:pPr>
        <w:pStyle w:val="ListParagraph"/>
        <w:numPr>
          <w:ilvl w:val="0"/>
          <w:numId w:val="3"/>
        </w:numPr>
        <w:spacing w:after="40" w:before="20"/>
      </w:pPr>
      <w:r>
        <w:rPr>
          <w:rFonts w:ascii="Arial" w:cs="Arial" w:eastAsia="Arial" w:hAnsi="Arial"/>
          <w:i/>
          <w:iCs/>
          <w:sz w:val="18"/>
          <w:szCs w:val="18"/>
        </w:rPr>
        <w:t xml:space="preserve">Plataformas de streaming y contenido (Netflix, Spotify).</w:t>
      </w:r>
    </w:p>
    <w:p>
      <w:pPr>
        <w:pStyle w:val="ListParagraph"/>
        <w:numPr>
          <w:ilvl w:val="0"/>
          <w:numId w:val="3"/>
        </w:numPr>
        <w:spacing w:after="40" w:before="20"/>
      </w:pPr>
      <w:r>
        <w:rPr>
          <w:rFonts w:ascii="Arial" w:cs="Arial" w:eastAsia="Arial" w:hAnsi="Arial"/>
          <w:i/>
          <w:iCs/>
          <w:sz w:val="18"/>
          <w:szCs w:val="18"/>
        </w:rPr>
        <w:t xml:space="preserve">E-commerce global con alta disponibilidad 24/7.</w:t>
      </w:r>
    </w:p>
    <w:p>
      <w:pPr>
        <w:pStyle w:val="ListParagraph"/>
        <w:numPr>
          <w:ilvl w:val="0"/>
          <w:numId w:val="3"/>
        </w:numPr>
        <w:spacing w:after="40" w:before="20"/>
      </w:pPr>
      <w:r>
        <w:rPr>
          <w:rFonts w:ascii="Arial" w:cs="Arial" w:eastAsia="Arial" w:hAnsi="Arial"/>
          <w:i/>
          <w:iCs/>
          <w:sz w:val="18"/>
          <w:szCs w:val="18"/>
        </w:rPr>
        <w:t xml:space="preserve">Analítica de Big Data e inteligencia de negocios.</w:t>
      </w:r>
    </w:p>
    <w:p>
      <w:r>
        <w:br w:type="page"/>
      </w:r>
    </w:p>
    <w:p>
      <w:pPr>
        <w:pStyle w:val="Heading1"/>
        <w:spacing w:after="180" w:before="360"/>
      </w:pPr>
      <w:r>
        <w:rPr>
          <w:rFonts w:ascii="Arial" w:cs="Arial" w:eastAsia="Arial" w:hAnsi="Arial"/>
          <w:b/>
          <w:bCs/>
          <w:color w:val="1F4E79"/>
          <w:sz w:val="28"/>
          <w:szCs w:val="28"/>
        </w:rPr>
        <w:t xml:space="preserve">5. Organizador de Conocimientos — Tabla Comparativa General</w:t>
      </w:r>
    </w:p>
    <w:p>
      <w:pPr>
        <w:spacing w:after="120" w:before="0" w:line="276"/>
        <w:jc w:val="both"/>
      </w:pPr>
      <w:r>
        <w:rPr>
          <w:rFonts w:ascii="Arial" w:cs="Arial" w:eastAsia="Arial" w:hAnsi="Arial"/>
          <w:b w:val="false"/>
          <w:bCs w:val="false"/>
          <w:i w:val="false"/>
          <w:iCs w:val="false"/>
          <w:color w:val="000000"/>
          <w:sz w:val="20"/>
          <w:szCs w:val="20"/>
        </w:rPr>
        <w:t xml:space="preserve">La siguiente tabla sintetiza los criterios más relevantes para la selección de una arquitectura de base de datos, facilitando la toma de decisiones en función del contexto tecnológico y organizacional:</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1F4E79" w:sz="8"/>
              <w:left w:val="single" w:color="1F4E79" w:sz="8"/>
              <w:bottom w:val="single" w:color="1F4E79" w:sz="8"/>
              <w:right w:val="single" w:color="1F4E79" w:sz="8"/>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Criterio</w:t>
            </w:r>
          </w:p>
        </w:tc>
        <w:tc>
          <w:tcPr>
            <w:tcW w:type="dxa" w:w="2320"/>
            <w:tcBorders>
              <w:top w:val="single" w:color="1F4E79" w:sz="8"/>
              <w:left w:val="single" w:color="1F4E79" w:sz="8"/>
              <w:bottom w:val="single" w:color="1F4E79" w:sz="8"/>
              <w:right w:val="single" w:color="1F4E79" w:sz="8"/>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Centralizada</w:t>
            </w:r>
          </w:p>
        </w:tc>
        <w:tc>
          <w:tcPr>
            <w:tcW w:type="dxa" w:w="2320"/>
            <w:tcBorders>
              <w:top w:val="single" w:color="1F4E79" w:sz="8"/>
              <w:left w:val="single" w:color="1F4E79" w:sz="8"/>
              <w:bottom w:val="single" w:color="1F4E79" w:sz="8"/>
              <w:right w:val="single" w:color="1F4E79" w:sz="8"/>
            </w:tcBorders>
            <w:shd w:fill="37562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Cliente-Servidor</w:t>
            </w:r>
          </w:p>
        </w:tc>
        <w:tc>
          <w:tcPr>
            <w:tcW w:type="dxa" w:w="2320"/>
            <w:tcBorders>
              <w:top w:val="single" w:color="1F4E79" w:sz="8"/>
              <w:left w:val="single" w:color="1F4E79" w:sz="8"/>
              <w:bottom w:val="single" w:color="1F4E79" w:sz="8"/>
              <w:right w:val="single" w:color="1F4E79" w:sz="8"/>
            </w:tcBorders>
            <w:shd w:fill="7F3F0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Distribuida</w:t>
            </w:r>
          </w:p>
        </w:tc>
      </w:tr>
      <w:tr>
        <w:tc>
          <w:tcPr>
            <w:tcW w:type="dxa" w:w="2400"/>
            <w:tcBorders>
              <w:top w:val="single" w:color="CCCCCC" w:sz="8"/>
              <w:left w:val="single" w:color="CCCCCC" w:sz="8"/>
              <w:bottom w:val="single" w:color="CCCCCC" w:sz="8"/>
              <w:right w:val="single" w:color="CCCCCC" w:sz="8"/>
            </w:tcBorders>
            <w:shd w:fill="D6DCE4" w:val="clear"/>
            <w:tcMar>
              <w:top w:type="dxa" w:w="80"/>
              <w:left w:type="dxa" w:w="120"/>
              <w:bottom w:type="dxa" w:w="80"/>
              <w:right w:type="dxa" w:w="120"/>
            </w:tcMar>
            <w:vAlign w:val="center"/>
          </w:tcPr>
          <w:p>
            <w:r>
              <w:rPr>
                <w:rFonts w:ascii="Arial" w:cs="Arial" w:eastAsia="Arial" w:hAnsi="Arial"/>
                <w:b/>
                <w:bCs/>
                <w:color w:val="000000"/>
                <w:sz w:val="18"/>
                <w:szCs w:val="18"/>
              </w:rPr>
              <w:t xml:space="preserve">Definición</w:t>
            </w:r>
          </w:p>
        </w:tc>
        <w:tc>
          <w:tcPr>
            <w:tcW w:type="dxa" w:w="232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Un único servidor central almacena y gestiona todos los datos</w:t>
            </w:r>
          </w:p>
        </w:tc>
        <w:tc>
          <w:tcPr>
            <w:tcW w:type="dxa" w:w="232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Servidor(es) y múltiples clientes con roles diferenciados</w:t>
            </w:r>
          </w:p>
        </w:tc>
        <w:tc>
          <w:tcPr>
            <w:tcW w:type="dxa" w:w="232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Datos fragmentados y replicados en nodos geográficamente dispersos</w:t>
            </w:r>
          </w:p>
        </w:tc>
      </w:tr>
      <w:tr>
        <w:tc>
          <w:tcPr>
            <w:tcW w:type="dxa" w:w="2400"/>
            <w:tcBorders>
              <w:top w:val="single" w:color="CCCCCC" w:sz="8"/>
              <w:left w:val="single" w:color="CCCCCC" w:sz="8"/>
              <w:bottom w:val="single" w:color="CCCCCC" w:sz="8"/>
              <w:right w:val="single" w:color="CCCCCC" w:sz="8"/>
            </w:tcBorders>
            <w:shd w:fill="D6DCE4" w:val="clear"/>
            <w:tcMar>
              <w:top w:type="dxa" w:w="80"/>
              <w:left w:type="dxa" w:w="120"/>
              <w:bottom w:type="dxa" w:w="80"/>
              <w:right w:type="dxa" w:w="120"/>
            </w:tcMar>
            <w:vAlign w:val="center"/>
          </w:tcPr>
          <w:p>
            <w:r>
              <w:rPr>
                <w:rFonts w:ascii="Arial" w:cs="Arial" w:eastAsia="Arial" w:hAnsi="Arial"/>
                <w:b/>
                <w:bCs/>
                <w:color w:val="000000"/>
                <w:sz w:val="18"/>
                <w:szCs w:val="18"/>
              </w:rPr>
              <w:t xml:space="preserve">Escalabilidad</w:t>
            </w:r>
          </w:p>
        </w:tc>
        <w:tc>
          <w:tcPr>
            <w:tcW w:type="dxa" w:w="2320"/>
            <w:tcBorders>
              <w:top w:val="single" w:color="CCCCCC" w:sz="8"/>
              <w:left w:val="single" w:color="CCCCCC" w:sz="8"/>
              <w:bottom w:val="single" w:color="CCCCCC" w:sz="8"/>
              <w:right w:val="single" w:color="CCCCCC" w:sz="8"/>
            </w:tcBorders>
            <w:shd w:fill="DEEAF1"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Vertical (limitada)</w:t>
            </w:r>
          </w:p>
        </w:tc>
        <w:tc>
          <w:tcPr>
            <w:tcW w:type="dxa" w:w="2320"/>
            <w:tcBorders>
              <w:top w:val="single" w:color="CCCCCC" w:sz="8"/>
              <w:left w:val="single" w:color="CCCCCC" w:sz="8"/>
              <w:bottom w:val="single" w:color="CCCCCC" w:sz="8"/>
              <w:right w:val="single" w:color="CCCCCC" w:sz="8"/>
            </w:tcBorders>
            <w:shd w:fill="DEEAF1"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Horizontal/Vertical</w:t>
            </w:r>
          </w:p>
        </w:tc>
        <w:tc>
          <w:tcPr>
            <w:tcW w:type="dxa" w:w="2320"/>
            <w:tcBorders>
              <w:top w:val="single" w:color="CCCCCC" w:sz="8"/>
              <w:left w:val="single" w:color="CCCCCC" w:sz="8"/>
              <w:bottom w:val="single" w:color="CCCCCC" w:sz="8"/>
              <w:right w:val="single" w:color="CCCCCC" w:sz="8"/>
            </w:tcBorders>
            <w:shd w:fill="DEEAF1"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Horizontal (alta)</w:t>
            </w:r>
          </w:p>
        </w:tc>
      </w:tr>
      <w:tr>
        <w:tc>
          <w:tcPr>
            <w:tcW w:type="dxa" w:w="2400"/>
            <w:tcBorders>
              <w:top w:val="single" w:color="CCCCCC" w:sz="8"/>
              <w:left w:val="single" w:color="CCCCCC" w:sz="8"/>
              <w:bottom w:val="single" w:color="CCCCCC" w:sz="8"/>
              <w:right w:val="single" w:color="CCCCCC" w:sz="8"/>
            </w:tcBorders>
            <w:shd w:fill="D6DCE4" w:val="clear"/>
            <w:tcMar>
              <w:top w:type="dxa" w:w="80"/>
              <w:left w:type="dxa" w:w="120"/>
              <w:bottom w:type="dxa" w:w="80"/>
              <w:right w:type="dxa" w:w="120"/>
            </w:tcMar>
            <w:vAlign w:val="center"/>
          </w:tcPr>
          <w:p>
            <w:r>
              <w:rPr>
                <w:rFonts w:ascii="Arial" w:cs="Arial" w:eastAsia="Arial" w:hAnsi="Arial"/>
                <w:b/>
                <w:bCs/>
                <w:color w:val="000000"/>
                <w:sz w:val="18"/>
                <w:szCs w:val="18"/>
              </w:rPr>
              <w:t xml:space="preserve">Disponibilidad</w:t>
            </w:r>
          </w:p>
        </w:tc>
        <w:tc>
          <w:tcPr>
            <w:tcW w:type="dxa" w:w="232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Baja (SPOF)</w:t>
            </w:r>
          </w:p>
        </w:tc>
        <w:tc>
          <w:tcPr>
            <w:tcW w:type="dxa" w:w="232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Media</w:t>
            </w:r>
          </w:p>
        </w:tc>
        <w:tc>
          <w:tcPr>
            <w:tcW w:type="dxa" w:w="232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Alta</w:t>
            </w:r>
          </w:p>
        </w:tc>
      </w:tr>
      <w:tr>
        <w:tc>
          <w:tcPr>
            <w:tcW w:type="dxa" w:w="2400"/>
            <w:tcBorders>
              <w:top w:val="single" w:color="CCCCCC" w:sz="8"/>
              <w:left w:val="single" w:color="CCCCCC" w:sz="8"/>
              <w:bottom w:val="single" w:color="CCCCCC" w:sz="8"/>
              <w:right w:val="single" w:color="CCCCCC" w:sz="8"/>
            </w:tcBorders>
            <w:shd w:fill="D6DCE4" w:val="clear"/>
            <w:tcMar>
              <w:top w:type="dxa" w:w="80"/>
              <w:left w:type="dxa" w:w="120"/>
              <w:bottom w:type="dxa" w:w="80"/>
              <w:right w:type="dxa" w:w="120"/>
            </w:tcMar>
            <w:vAlign w:val="center"/>
          </w:tcPr>
          <w:p>
            <w:r>
              <w:rPr>
                <w:rFonts w:ascii="Arial" w:cs="Arial" w:eastAsia="Arial" w:hAnsi="Arial"/>
                <w:b/>
                <w:bCs/>
                <w:color w:val="000000"/>
                <w:sz w:val="18"/>
                <w:szCs w:val="18"/>
              </w:rPr>
              <w:t xml:space="preserve">Consistencia</w:t>
            </w:r>
          </w:p>
        </w:tc>
        <w:tc>
          <w:tcPr>
            <w:tcW w:type="dxa" w:w="2320"/>
            <w:tcBorders>
              <w:top w:val="single" w:color="CCCCCC" w:sz="8"/>
              <w:left w:val="single" w:color="CCCCCC" w:sz="8"/>
              <w:bottom w:val="single" w:color="CCCCCC" w:sz="8"/>
              <w:right w:val="single" w:color="CCCCCC" w:sz="8"/>
            </w:tcBorders>
            <w:shd w:fill="DEEAF1"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Alta (ACID)</w:t>
            </w:r>
          </w:p>
        </w:tc>
        <w:tc>
          <w:tcPr>
            <w:tcW w:type="dxa" w:w="2320"/>
            <w:tcBorders>
              <w:top w:val="single" w:color="CCCCCC" w:sz="8"/>
              <w:left w:val="single" w:color="CCCCCC" w:sz="8"/>
              <w:bottom w:val="single" w:color="CCCCCC" w:sz="8"/>
              <w:right w:val="single" w:color="CCCCCC" w:sz="8"/>
            </w:tcBorders>
            <w:shd w:fill="DEEAF1"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Alta (ACID)</w:t>
            </w:r>
          </w:p>
        </w:tc>
        <w:tc>
          <w:tcPr>
            <w:tcW w:type="dxa" w:w="2320"/>
            <w:tcBorders>
              <w:top w:val="single" w:color="CCCCCC" w:sz="8"/>
              <w:left w:val="single" w:color="CCCCCC" w:sz="8"/>
              <w:bottom w:val="single" w:color="CCCCCC" w:sz="8"/>
              <w:right w:val="single" w:color="CCCCCC" w:sz="8"/>
            </w:tcBorders>
            <w:shd w:fill="DEEAF1"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Variable (CAP theorem)</w:t>
            </w:r>
          </w:p>
        </w:tc>
      </w:tr>
      <w:tr>
        <w:tc>
          <w:tcPr>
            <w:tcW w:type="dxa" w:w="2400"/>
            <w:tcBorders>
              <w:top w:val="single" w:color="CCCCCC" w:sz="8"/>
              <w:left w:val="single" w:color="CCCCCC" w:sz="8"/>
              <w:bottom w:val="single" w:color="CCCCCC" w:sz="8"/>
              <w:right w:val="single" w:color="CCCCCC" w:sz="8"/>
            </w:tcBorders>
            <w:shd w:fill="D6DCE4" w:val="clear"/>
            <w:tcMar>
              <w:top w:type="dxa" w:w="80"/>
              <w:left w:type="dxa" w:w="120"/>
              <w:bottom w:type="dxa" w:w="80"/>
              <w:right w:type="dxa" w:w="120"/>
            </w:tcMar>
            <w:vAlign w:val="center"/>
          </w:tcPr>
          <w:p>
            <w:r>
              <w:rPr>
                <w:rFonts w:ascii="Arial" w:cs="Arial" w:eastAsia="Arial" w:hAnsi="Arial"/>
                <w:b/>
                <w:bCs/>
                <w:color w:val="000000"/>
                <w:sz w:val="18"/>
                <w:szCs w:val="18"/>
              </w:rPr>
              <w:t xml:space="preserve">Latencia</w:t>
            </w:r>
          </w:p>
        </w:tc>
        <w:tc>
          <w:tcPr>
            <w:tcW w:type="dxa" w:w="232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Baja (local)</w:t>
            </w:r>
          </w:p>
        </w:tc>
        <w:tc>
          <w:tcPr>
            <w:tcW w:type="dxa" w:w="232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Media</w:t>
            </w:r>
          </w:p>
        </w:tc>
        <w:tc>
          <w:tcPr>
            <w:tcW w:type="dxa" w:w="232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Variable (red)</w:t>
            </w:r>
          </w:p>
        </w:tc>
      </w:tr>
      <w:tr>
        <w:tc>
          <w:tcPr>
            <w:tcW w:type="dxa" w:w="2400"/>
            <w:tcBorders>
              <w:top w:val="single" w:color="CCCCCC" w:sz="8"/>
              <w:left w:val="single" w:color="CCCCCC" w:sz="8"/>
              <w:bottom w:val="single" w:color="CCCCCC" w:sz="8"/>
              <w:right w:val="single" w:color="CCCCCC" w:sz="8"/>
            </w:tcBorders>
            <w:shd w:fill="D6DCE4" w:val="clear"/>
            <w:tcMar>
              <w:top w:type="dxa" w:w="80"/>
              <w:left w:type="dxa" w:w="120"/>
              <w:bottom w:type="dxa" w:w="80"/>
              <w:right w:type="dxa" w:w="120"/>
            </w:tcMar>
            <w:vAlign w:val="center"/>
          </w:tcPr>
          <w:p>
            <w:r>
              <w:rPr>
                <w:rFonts w:ascii="Arial" w:cs="Arial" w:eastAsia="Arial" w:hAnsi="Arial"/>
                <w:b/>
                <w:bCs/>
                <w:color w:val="000000"/>
                <w:sz w:val="18"/>
                <w:szCs w:val="18"/>
              </w:rPr>
              <w:t xml:space="preserve">Costo inicial</w:t>
            </w:r>
          </w:p>
        </w:tc>
        <w:tc>
          <w:tcPr>
            <w:tcW w:type="dxa" w:w="2320"/>
            <w:tcBorders>
              <w:top w:val="single" w:color="CCCCCC" w:sz="8"/>
              <w:left w:val="single" w:color="CCCCCC" w:sz="8"/>
              <w:bottom w:val="single" w:color="CCCCCC" w:sz="8"/>
              <w:right w:val="single" w:color="CCCCCC" w:sz="8"/>
            </w:tcBorders>
            <w:shd w:fill="DEEAF1"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Bajo-Medio</w:t>
            </w:r>
          </w:p>
        </w:tc>
        <w:tc>
          <w:tcPr>
            <w:tcW w:type="dxa" w:w="2320"/>
            <w:tcBorders>
              <w:top w:val="single" w:color="CCCCCC" w:sz="8"/>
              <w:left w:val="single" w:color="CCCCCC" w:sz="8"/>
              <w:bottom w:val="single" w:color="CCCCCC" w:sz="8"/>
              <w:right w:val="single" w:color="CCCCCC" w:sz="8"/>
            </w:tcBorders>
            <w:shd w:fill="DEEAF1"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Medio</w:t>
            </w:r>
          </w:p>
        </w:tc>
        <w:tc>
          <w:tcPr>
            <w:tcW w:type="dxa" w:w="2320"/>
            <w:tcBorders>
              <w:top w:val="single" w:color="CCCCCC" w:sz="8"/>
              <w:left w:val="single" w:color="CCCCCC" w:sz="8"/>
              <w:bottom w:val="single" w:color="CCCCCC" w:sz="8"/>
              <w:right w:val="single" w:color="CCCCCC" w:sz="8"/>
            </w:tcBorders>
            <w:shd w:fill="DEEAF1"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Alto</w:t>
            </w:r>
          </w:p>
        </w:tc>
      </w:tr>
      <w:tr>
        <w:tc>
          <w:tcPr>
            <w:tcW w:type="dxa" w:w="2400"/>
            <w:tcBorders>
              <w:top w:val="single" w:color="CCCCCC" w:sz="8"/>
              <w:left w:val="single" w:color="CCCCCC" w:sz="8"/>
              <w:bottom w:val="single" w:color="CCCCCC" w:sz="8"/>
              <w:right w:val="single" w:color="CCCCCC" w:sz="8"/>
            </w:tcBorders>
            <w:shd w:fill="D6DCE4" w:val="clear"/>
            <w:tcMar>
              <w:top w:type="dxa" w:w="80"/>
              <w:left w:type="dxa" w:w="120"/>
              <w:bottom w:type="dxa" w:w="80"/>
              <w:right w:type="dxa" w:w="120"/>
            </w:tcMar>
            <w:vAlign w:val="center"/>
          </w:tcPr>
          <w:p>
            <w:r>
              <w:rPr>
                <w:rFonts w:ascii="Arial" w:cs="Arial" w:eastAsia="Arial" w:hAnsi="Arial"/>
                <w:b/>
                <w:bCs/>
                <w:color w:val="000000"/>
                <w:sz w:val="18"/>
                <w:szCs w:val="18"/>
              </w:rPr>
              <w:t xml:space="preserve">Mantenimiento</w:t>
            </w:r>
          </w:p>
        </w:tc>
        <w:tc>
          <w:tcPr>
            <w:tcW w:type="dxa" w:w="232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Simple</w:t>
            </w:r>
          </w:p>
        </w:tc>
        <w:tc>
          <w:tcPr>
            <w:tcW w:type="dxa" w:w="232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Moderado</w:t>
            </w:r>
          </w:p>
        </w:tc>
        <w:tc>
          <w:tcPr>
            <w:tcW w:type="dxa" w:w="232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Complejo</w:t>
            </w:r>
          </w:p>
        </w:tc>
      </w:tr>
      <w:tr>
        <w:tc>
          <w:tcPr>
            <w:tcW w:type="dxa" w:w="2400"/>
            <w:tcBorders>
              <w:top w:val="single" w:color="CCCCCC" w:sz="8"/>
              <w:left w:val="single" w:color="CCCCCC" w:sz="8"/>
              <w:bottom w:val="single" w:color="CCCCCC" w:sz="8"/>
              <w:right w:val="single" w:color="CCCCCC" w:sz="8"/>
            </w:tcBorders>
            <w:shd w:fill="D6DCE4" w:val="clear"/>
            <w:tcMar>
              <w:top w:type="dxa" w:w="80"/>
              <w:left w:type="dxa" w:w="120"/>
              <w:bottom w:type="dxa" w:w="80"/>
              <w:right w:type="dxa" w:w="120"/>
            </w:tcMar>
            <w:vAlign w:val="center"/>
          </w:tcPr>
          <w:p>
            <w:r>
              <w:rPr>
                <w:rFonts w:ascii="Arial" w:cs="Arial" w:eastAsia="Arial" w:hAnsi="Arial"/>
                <w:b/>
                <w:bCs/>
                <w:color w:val="000000"/>
                <w:sz w:val="18"/>
                <w:szCs w:val="18"/>
              </w:rPr>
              <w:t xml:space="preserve">Seguridad</w:t>
            </w:r>
          </w:p>
        </w:tc>
        <w:tc>
          <w:tcPr>
            <w:tcW w:type="dxa" w:w="2320"/>
            <w:tcBorders>
              <w:top w:val="single" w:color="CCCCCC" w:sz="8"/>
              <w:left w:val="single" w:color="CCCCCC" w:sz="8"/>
              <w:bottom w:val="single" w:color="CCCCCC" w:sz="8"/>
              <w:right w:val="single" w:color="CCCCCC" w:sz="8"/>
            </w:tcBorders>
            <w:shd w:fill="DEEAF1"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Centralizada/fácil</w:t>
            </w:r>
          </w:p>
        </w:tc>
        <w:tc>
          <w:tcPr>
            <w:tcW w:type="dxa" w:w="2320"/>
            <w:tcBorders>
              <w:top w:val="single" w:color="CCCCCC" w:sz="8"/>
              <w:left w:val="single" w:color="CCCCCC" w:sz="8"/>
              <w:bottom w:val="single" w:color="CCCCCC" w:sz="8"/>
              <w:right w:val="single" w:color="CCCCCC" w:sz="8"/>
            </w:tcBorders>
            <w:shd w:fill="DEEAF1"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Roles y perfiles</w:t>
            </w:r>
          </w:p>
        </w:tc>
        <w:tc>
          <w:tcPr>
            <w:tcW w:type="dxa" w:w="2320"/>
            <w:tcBorders>
              <w:top w:val="single" w:color="CCCCCC" w:sz="8"/>
              <w:left w:val="single" w:color="CCCCCC" w:sz="8"/>
              <w:bottom w:val="single" w:color="CCCCCC" w:sz="8"/>
              <w:right w:val="single" w:color="CCCCCC" w:sz="8"/>
            </w:tcBorders>
            <w:shd w:fill="DEEAF1"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Distribuida/compleja</w:t>
            </w:r>
          </w:p>
        </w:tc>
      </w:tr>
      <w:tr>
        <w:tc>
          <w:tcPr>
            <w:tcW w:type="dxa" w:w="2400"/>
            <w:tcBorders>
              <w:top w:val="single" w:color="CCCCCC" w:sz="8"/>
              <w:left w:val="single" w:color="CCCCCC" w:sz="8"/>
              <w:bottom w:val="single" w:color="CCCCCC" w:sz="8"/>
              <w:right w:val="single" w:color="CCCCCC" w:sz="8"/>
            </w:tcBorders>
            <w:shd w:fill="D6DCE4" w:val="clear"/>
            <w:tcMar>
              <w:top w:type="dxa" w:w="80"/>
              <w:left w:type="dxa" w:w="120"/>
              <w:bottom w:type="dxa" w:w="80"/>
              <w:right w:type="dxa" w:w="120"/>
            </w:tcMar>
            <w:vAlign w:val="center"/>
          </w:tcPr>
          <w:p>
            <w:r>
              <w:rPr>
                <w:rFonts w:ascii="Arial" w:cs="Arial" w:eastAsia="Arial" w:hAnsi="Arial"/>
                <w:b/>
                <w:bCs/>
                <w:color w:val="000000"/>
                <w:sz w:val="18"/>
                <w:szCs w:val="18"/>
              </w:rPr>
              <w:t xml:space="preserve">Tolerancia a fallos</w:t>
            </w:r>
          </w:p>
        </w:tc>
        <w:tc>
          <w:tcPr>
            <w:tcW w:type="dxa" w:w="232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Baja</w:t>
            </w:r>
          </w:p>
        </w:tc>
        <w:tc>
          <w:tcPr>
            <w:tcW w:type="dxa" w:w="232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Media</w:t>
            </w:r>
          </w:p>
        </w:tc>
        <w:tc>
          <w:tcPr>
            <w:tcW w:type="dxa" w:w="232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Alta</w:t>
            </w:r>
          </w:p>
        </w:tc>
      </w:tr>
      <w:tr>
        <w:tc>
          <w:tcPr>
            <w:tcW w:type="dxa" w:w="2400"/>
            <w:tcBorders>
              <w:top w:val="single" w:color="CCCCCC" w:sz="8"/>
              <w:left w:val="single" w:color="CCCCCC" w:sz="8"/>
              <w:bottom w:val="single" w:color="CCCCCC" w:sz="8"/>
              <w:right w:val="single" w:color="CCCCCC" w:sz="8"/>
            </w:tcBorders>
            <w:shd w:fill="D6DCE4" w:val="clear"/>
            <w:tcMar>
              <w:top w:type="dxa" w:w="80"/>
              <w:left w:type="dxa" w:w="120"/>
              <w:bottom w:type="dxa" w:w="80"/>
              <w:right w:type="dxa" w:w="120"/>
            </w:tcMar>
            <w:vAlign w:val="center"/>
          </w:tcPr>
          <w:p>
            <w:r>
              <w:rPr>
                <w:rFonts w:ascii="Arial" w:cs="Arial" w:eastAsia="Arial" w:hAnsi="Arial"/>
                <w:b/>
                <w:bCs/>
                <w:color w:val="000000"/>
                <w:sz w:val="18"/>
                <w:szCs w:val="18"/>
              </w:rPr>
              <w:t xml:space="preserve">Ejemplos DBMS</w:t>
            </w:r>
          </w:p>
        </w:tc>
        <w:tc>
          <w:tcPr>
            <w:tcW w:type="dxa" w:w="2320"/>
            <w:tcBorders>
              <w:top w:val="single" w:color="CCCCCC" w:sz="8"/>
              <w:left w:val="single" w:color="CCCCCC" w:sz="8"/>
              <w:bottom w:val="single" w:color="CCCCCC" w:sz="8"/>
              <w:right w:val="single" w:color="CCCCCC" w:sz="8"/>
            </w:tcBorders>
            <w:shd w:fill="DEEAF1"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SQLite, MS Access, Oracle SE</w:t>
            </w:r>
          </w:p>
        </w:tc>
        <w:tc>
          <w:tcPr>
            <w:tcW w:type="dxa" w:w="2320"/>
            <w:tcBorders>
              <w:top w:val="single" w:color="CCCCCC" w:sz="8"/>
              <w:left w:val="single" w:color="CCCCCC" w:sz="8"/>
              <w:bottom w:val="single" w:color="CCCCCC" w:sz="8"/>
              <w:right w:val="single" w:color="CCCCCC" w:sz="8"/>
            </w:tcBorders>
            <w:shd w:fill="DEEAF1"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MySQL, PostgreSQL, SQL Server</w:t>
            </w:r>
          </w:p>
        </w:tc>
        <w:tc>
          <w:tcPr>
            <w:tcW w:type="dxa" w:w="2320"/>
            <w:tcBorders>
              <w:top w:val="single" w:color="CCCCCC" w:sz="8"/>
              <w:left w:val="single" w:color="CCCCCC" w:sz="8"/>
              <w:bottom w:val="single" w:color="CCCCCC" w:sz="8"/>
              <w:right w:val="single" w:color="CCCCCC" w:sz="8"/>
            </w:tcBorders>
            <w:shd w:fill="DEEAF1"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Cassandra, MongoDB Atlas, Google Spanner, CockroachDB</w:t>
            </w:r>
          </w:p>
        </w:tc>
      </w:tr>
    </w:tbl>
    <w:p>
      <w:pPr>
        <w:spacing w:after="160" w:before="160"/>
      </w:pPr>
    </w:p>
    <w:p>
      <w:pPr>
        <w:pStyle w:val="Heading2"/>
        <w:spacing w:after="120" w:before="240"/>
      </w:pPr>
      <w:r>
        <w:rPr>
          <w:rFonts w:ascii="Arial" w:cs="Arial" w:eastAsia="Arial" w:hAnsi="Arial"/>
          <w:b/>
          <w:bCs/>
          <w:color w:val="2E75B6"/>
          <w:sz w:val="24"/>
          <w:szCs w:val="24"/>
        </w:rPr>
        <w:t xml:space="preserve">5.1 Comparativo de Ventajas y Desventajas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rPr>
          <w:tblHeader/>
        </w:trPr>
        <w:tc>
          <w:tcPr>
            <w:tcW w:type="dxa" w:w="1560"/>
            <w:tcBorders>
              <w:top w:val="single" w:color="1F4E79" w:sz="8"/>
              <w:left w:val="single" w:color="1F4E79" w:sz="8"/>
              <w:bottom w:val="single" w:color="1F4E79" w:sz="8"/>
              <w:right w:val="single" w:color="1F4E79" w:sz="8"/>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w:r>
          </w:p>
        </w:tc>
        <w:tc>
          <w:tcPr>
            <w:tcW w:type="dxa" w:w="2600"/>
            <w:tcBorders>
              <w:top w:val="single" w:color="1F4E79" w:sz="8"/>
              <w:left w:val="single" w:color="1F4E79" w:sz="8"/>
              <w:bottom w:val="single" w:color="1F4E79" w:sz="8"/>
              <w:right w:val="single" w:color="1F4E79" w:sz="8"/>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Centralizada</w:t>
            </w:r>
          </w:p>
        </w:tc>
        <w:tc>
          <w:tcPr>
            <w:tcW w:type="dxa" w:w="2600"/>
            <w:tcBorders>
              <w:top w:val="single" w:color="1F4E79" w:sz="8"/>
              <w:left w:val="single" w:color="1F4E79" w:sz="8"/>
              <w:bottom w:val="single" w:color="1F4E79" w:sz="8"/>
              <w:right w:val="single" w:color="1F4E79" w:sz="8"/>
            </w:tcBorders>
            <w:shd w:fill="37562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Cliente-Servidor</w:t>
            </w:r>
          </w:p>
        </w:tc>
        <w:tc>
          <w:tcPr>
            <w:tcW w:type="dxa" w:w="2600"/>
            <w:tcBorders>
              <w:top w:val="single" w:color="1F4E79" w:sz="8"/>
              <w:left w:val="single" w:color="1F4E79" w:sz="8"/>
              <w:bottom w:val="single" w:color="1F4E79" w:sz="8"/>
              <w:right w:val="single" w:color="1F4E79" w:sz="8"/>
            </w:tcBorders>
            <w:shd w:fill="7F3F0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Distribuida</w:t>
            </w:r>
          </w:p>
        </w:tc>
      </w:tr>
      <w:tr>
        <w:tc>
          <w:tcPr>
            <w:tcW w:type="dxa" w:w="1560"/>
            <w:tcBorders>
              <w:top w:val="single" w:color="CCCCCC" w:sz="8"/>
              <w:left w:val="single" w:color="CCCCCC" w:sz="8"/>
              <w:bottom w:val="single" w:color="CCCCCC" w:sz="8"/>
              <w:right w:val="single" w:color="CCCCCC" w:sz="8"/>
            </w:tcBorders>
            <w:shd w:fill="E2EFDA" w:val="clear"/>
            <w:tcMar>
              <w:top w:type="dxa" w:w="80"/>
              <w:left w:type="dxa" w:w="120"/>
              <w:bottom w:type="dxa" w:w="80"/>
              <w:right w:type="dxa" w:w="120"/>
            </w:tcMar>
            <w:vAlign w:val="center"/>
          </w:tcPr>
          <w:p>
            <w:r>
              <w:rPr>
                <w:rFonts w:ascii="Arial" w:cs="Arial" w:eastAsia="Arial" w:hAnsi="Arial"/>
                <w:b/>
                <w:bCs/>
                <w:color w:val="375623"/>
                <w:sz w:val="18"/>
                <w:szCs w:val="18"/>
              </w:rPr>
              <w:t xml:space="preserve">✅ Ventajas</w:t>
            </w:r>
          </w:p>
        </w:tc>
        <w:tc>
          <w:tcPr>
            <w:tcW w:type="dxa" w:w="2600"/>
            <w:tcBorders>
              <w:top w:val="single" w:color="CCCCCC" w:sz="8"/>
              <w:left w:val="single" w:color="CCCCCC" w:sz="8"/>
              <w:bottom w:val="single" w:color="CCCCCC" w:sz="8"/>
              <w:right w:val="single" w:color="CCCCCC" w:sz="8"/>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Gestión sencilla
• Bajo costo inicial
• Alta consistencia
• Respaldo unificado</w:t>
            </w:r>
          </w:p>
        </w:tc>
        <w:tc>
          <w:tcPr>
            <w:tcW w:type="dxa" w:w="2600"/>
            <w:tcBorders>
              <w:top w:val="single" w:color="CCCCCC" w:sz="8"/>
              <w:left w:val="single" w:color="CCCCCC" w:sz="8"/>
              <w:bottom w:val="single" w:color="CCCCCC" w:sz="8"/>
              <w:right w:val="single" w:color="CCCCCC" w:sz="8"/>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Arquitectura flexible
• Buena escalabilidad
• Seguridad por capas
• Mantenimiento modular</w:t>
            </w:r>
          </w:p>
        </w:tc>
        <w:tc>
          <w:tcPr>
            <w:tcW w:type="dxa" w:w="2600"/>
            <w:tcBorders>
              <w:top w:val="single" w:color="CCCCCC" w:sz="8"/>
              <w:left w:val="single" w:color="CCCCCC" w:sz="8"/>
              <w:bottom w:val="single" w:color="CCCCCC" w:sz="8"/>
              <w:right w:val="single" w:color="CCCCCC" w:sz="8"/>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Alta disponibilidad
• Escalabilidad extrema
• Tolerancia a fallos
• Sin SPOF</w:t>
            </w:r>
          </w:p>
        </w:tc>
      </w:tr>
      <w:tr>
        <w:tc>
          <w:tcPr>
            <w:tcW w:type="dxa" w:w="1560"/>
            <w:tcBorders>
              <w:top w:val="single" w:color="CCCCCC" w:sz="8"/>
              <w:left w:val="single" w:color="CCCCCC" w:sz="8"/>
              <w:bottom w:val="single" w:color="CCCCCC" w:sz="8"/>
              <w:right w:val="single" w:color="CCCCCC" w:sz="8"/>
            </w:tcBorders>
            <w:shd w:fill="FFDFD6" w:val="clear"/>
            <w:tcMar>
              <w:top w:type="dxa" w:w="80"/>
              <w:left w:type="dxa" w:w="120"/>
              <w:bottom w:type="dxa" w:w="80"/>
              <w:right w:type="dxa" w:w="120"/>
            </w:tcMar>
            <w:vAlign w:val="center"/>
          </w:tcPr>
          <w:p>
            <w:r>
              <w:rPr>
                <w:rFonts w:ascii="Arial" w:cs="Arial" w:eastAsia="Arial" w:hAnsi="Arial"/>
                <w:b/>
                <w:bCs/>
                <w:color w:val="C00000"/>
                <w:sz w:val="18"/>
                <w:szCs w:val="18"/>
              </w:rPr>
              <w:t xml:space="preserve">❌ Desventajas</w:t>
            </w:r>
          </w:p>
        </w:tc>
        <w:tc>
          <w:tcPr>
            <w:tcW w:type="dxa" w:w="2600"/>
            <w:tcBorders>
              <w:top w:val="single" w:color="CCCCCC" w:sz="8"/>
              <w:left w:val="single" w:color="CCCCCC" w:sz="8"/>
              <w:bottom w:val="single" w:color="CCCCCC" w:sz="8"/>
              <w:right w:val="single" w:color="CCCCCC" w:sz="8"/>
            </w:tcBorders>
            <w:shd w:fill="FFDFD6"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Punto único de fallo
• Escalabilidad limitada
• Cuello de botella
• Sin redundancia</w:t>
            </w:r>
          </w:p>
        </w:tc>
        <w:tc>
          <w:tcPr>
            <w:tcW w:type="dxa" w:w="2600"/>
            <w:tcBorders>
              <w:top w:val="single" w:color="CCCCCC" w:sz="8"/>
              <w:left w:val="single" w:color="CCCCCC" w:sz="8"/>
              <w:bottom w:val="single" w:color="CCCCCC" w:sz="8"/>
              <w:right w:val="single" w:color="CCCCCC" w:sz="8"/>
            </w:tcBorders>
            <w:shd w:fill="FFDFD6"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Dependencia de red
• Costo de licencias
• Configuración inicial
• Latencia variable</w:t>
            </w:r>
          </w:p>
        </w:tc>
        <w:tc>
          <w:tcPr>
            <w:tcW w:type="dxa" w:w="2600"/>
            <w:tcBorders>
              <w:top w:val="single" w:color="CCCCCC" w:sz="8"/>
              <w:left w:val="single" w:color="CCCCCC" w:sz="8"/>
              <w:bottom w:val="single" w:color="CCCCCC" w:sz="8"/>
              <w:right w:val="single" w:color="CCCCCC" w:sz="8"/>
            </w:tcBorders>
            <w:shd w:fill="FFDFD6"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Alta complejidad
• Consistencia eventual
• Costos operativos
• Debugging difícil</w:t>
            </w:r>
          </w:p>
        </w:tc>
      </w:tr>
    </w:tbl>
    <w:p>
      <w:r>
        <w:br w:type="page"/>
      </w:r>
    </w:p>
    <w:p>
      <w:pPr>
        <w:pStyle w:val="Heading1"/>
        <w:spacing w:after="180" w:before="360"/>
      </w:pPr>
      <w:r>
        <w:rPr>
          <w:rFonts w:ascii="Arial" w:cs="Arial" w:eastAsia="Arial" w:hAnsi="Arial"/>
          <w:b/>
          <w:bCs/>
          <w:color w:val="1F4E79"/>
          <w:sz w:val="28"/>
          <w:szCs w:val="28"/>
        </w:rPr>
        <w:t xml:space="preserve">6. Recomendación para un Sistema de Gestión Académica (SGA)</w:t>
      </w:r>
    </w:p>
    <w:p>
      <w:pPr>
        <w:pStyle w:val="Heading2"/>
        <w:spacing w:after="120" w:before="240"/>
      </w:pPr>
      <w:r>
        <w:rPr>
          <w:rFonts w:ascii="Arial" w:cs="Arial" w:eastAsia="Arial" w:hAnsi="Arial"/>
          <w:b/>
          <w:bCs/>
          <w:color w:val="2E75B6"/>
          <w:sz w:val="24"/>
          <w:szCs w:val="24"/>
        </w:rPr>
        <w:t xml:space="preserve">6.1 Contexto y Requisitos del SGA</w:t>
      </w:r>
    </w:p>
    <w:p>
      <w:pPr>
        <w:spacing w:after="120" w:before="0" w:line="276"/>
        <w:jc w:val="both"/>
      </w:pPr>
      <w:r>
        <w:rPr>
          <w:rFonts w:ascii="Arial" w:cs="Arial" w:eastAsia="Arial" w:hAnsi="Arial"/>
          <w:b w:val="false"/>
          <w:bCs w:val="false"/>
          <w:i w:val="false"/>
          <w:iCs w:val="false"/>
          <w:color w:val="000000"/>
          <w:sz w:val="20"/>
          <w:szCs w:val="20"/>
        </w:rPr>
        <w:t xml:space="preserve">Un Sistema de Gestión Académica (SGA) es una plataforma de misión crítica que debe soportar operaciones concurrentes de docentes, estudiantes, personal administrativo y directivos. Los requisitos fundamentales son:</w:t>
      </w:r>
    </w:p>
    <w:p>
      <w:pPr>
        <w:spacing w:after="80" w:before="80"/>
      </w:pPr>
    </w:p>
    <w:p>
      <w:pPr>
        <w:pStyle w:val="ListParagraph"/>
        <w:numPr>
          <w:ilvl w:val="0"/>
          <w:numId w:val="2"/>
        </w:numPr>
        <w:spacing w:after="60" w:before="40"/>
      </w:pPr>
      <w:r>
        <w:rPr>
          <w:rFonts w:ascii="Arial" w:cs="Arial" w:eastAsia="Arial" w:hAnsi="Arial"/>
          <w:sz w:val="19"/>
          <w:szCs w:val="19"/>
        </w:rPr>
        <w:t xml:space="preserve">Alta disponibilidad durante períodos de matrícula y evaluaciones.</w:t>
      </w:r>
    </w:p>
    <w:p>
      <w:pPr>
        <w:pStyle w:val="ListParagraph"/>
        <w:numPr>
          <w:ilvl w:val="0"/>
          <w:numId w:val="2"/>
        </w:numPr>
        <w:spacing w:after="60" w:before="40"/>
      </w:pPr>
      <w:r>
        <w:rPr>
          <w:rFonts w:ascii="Arial" w:cs="Arial" w:eastAsia="Arial" w:hAnsi="Arial"/>
          <w:sz w:val="19"/>
          <w:szCs w:val="19"/>
        </w:rPr>
        <w:t xml:space="preserve">Consistencia estricta en calificaciones, matrículas y registros oficiales.</w:t>
      </w:r>
    </w:p>
    <w:p>
      <w:pPr>
        <w:pStyle w:val="ListParagraph"/>
        <w:numPr>
          <w:ilvl w:val="0"/>
          <w:numId w:val="2"/>
        </w:numPr>
        <w:spacing w:after="60" w:before="40"/>
      </w:pPr>
      <w:r>
        <w:rPr>
          <w:rFonts w:ascii="Arial" w:cs="Arial" w:eastAsia="Arial" w:hAnsi="Arial"/>
          <w:sz w:val="19"/>
          <w:szCs w:val="19"/>
        </w:rPr>
        <w:t xml:space="preserve">Escalabilidad para soportar picos de carga (inicio de semestre, exámenes finales).</w:t>
      </w:r>
    </w:p>
    <w:p>
      <w:pPr>
        <w:pStyle w:val="ListParagraph"/>
        <w:numPr>
          <w:ilvl w:val="0"/>
          <w:numId w:val="2"/>
        </w:numPr>
        <w:spacing w:after="60" w:before="40"/>
      </w:pPr>
      <w:r>
        <w:rPr>
          <w:rFonts w:ascii="Arial" w:cs="Arial" w:eastAsia="Arial" w:hAnsi="Arial"/>
          <w:sz w:val="19"/>
          <w:szCs w:val="19"/>
        </w:rPr>
        <w:t xml:space="preserve">Seguridad robusta: protección de datos personales (GDPR, Ley de Protección de Datos).</w:t>
      </w:r>
    </w:p>
    <w:p>
      <w:pPr>
        <w:pStyle w:val="ListParagraph"/>
        <w:numPr>
          <w:ilvl w:val="0"/>
          <w:numId w:val="2"/>
        </w:numPr>
        <w:spacing w:after="60" w:before="40"/>
      </w:pPr>
      <w:r>
        <w:rPr>
          <w:rFonts w:ascii="Arial" w:cs="Arial" w:eastAsia="Arial" w:hAnsi="Arial"/>
          <w:sz w:val="19"/>
          <w:szCs w:val="19"/>
        </w:rPr>
        <w:t xml:space="preserve">Capacidad de reportes y analítica institucional.</w:t>
      </w:r>
    </w:p>
    <w:p>
      <w:pPr>
        <w:pStyle w:val="ListParagraph"/>
        <w:numPr>
          <w:ilvl w:val="0"/>
          <w:numId w:val="2"/>
        </w:numPr>
        <w:spacing w:after="60" w:before="40"/>
      </w:pPr>
      <w:r>
        <w:rPr>
          <w:rFonts w:ascii="Arial" w:cs="Arial" w:eastAsia="Arial" w:hAnsi="Arial"/>
          <w:sz w:val="19"/>
          <w:szCs w:val="19"/>
        </w:rPr>
        <w:t xml:space="preserve">Integración con portales web, apps móviles y sistemas externos (SUNEDU, MINEDU).</w:t>
      </w:r>
    </w:p>
    <w:p>
      <w:pPr>
        <w:spacing w:after="160" w:before="160"/>
      </w:pPr>
    </w:p>
    <w:p>
      <w:pPr>
        <w:pStyle w:val="Heading2"/>
        <w:spacing w:after="120" w:before="240"/>
      </w:pPr>
      <w:r>
        <w:rPr>
          <w:rFonts w:ascii="Arial" w:cs="Arial" w:eastAsia="Arial" w:hAnsi="Arial"/>
          <w:b/>
          <w:bCs/>
          <w:color w:val="2E75B6"/>
          <w:sz w:val="24"/>
          <w:szCs w:val="24"/>
        </w:rPr>
        <w:t xml:space="preserve">6.2 Arquitectura Recomendada: Cliente-Servidor como núcleo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8"/>
              <w:left w:val="single" w:color="375623" w:sz="24"/>
              <w:bottom w:val="single" w:color="375623" w:sz="8"/>
              <w:right w:val="single" w:color="375623" w:sz="8"/>
            </w:tcBorders>
            <w:shd w:fill="E2EFDA" w:val="clear"/>
            <w:tcMar>
              <w:top w:type="dxa" w:w="120"/>
              <w:left w:type="dxa" w:w="200"/>
              <w:bottom w:type="dxa" w:w="120"/>
              <w:right w:type="dxa" w:w="120"/>
            </w:tcMar>
          </w:tcPr>
          <w:p>
            <w:r>
              <w:rPr>
                <w:rFonts w:ascii="Arial" w:cs="Arial" w:eastAsia="Arial" w:hAnsi="Arial"/>
                <w:b/>
                <w:bCs/>
                <w:color w:val="375623"/>
                <w:sz w:val="20"/>
                <w:szCs w:val="20"/>
              </w:rPr>
              <w:t xml:space="preserve">✅ RECOMENDACIÓN PRINCIPAL</w:t>
            </w:r>
          </w:p>
          <w:p>
            <w:pPr>
              <w:spacing w:before="60"/>
            </w:pPr>
            <w:r>
              <w:rPr>
                <w:rFonts w:ascii="Arial" w:cs="Arial" w:eastAsia="Arial" w:hAnsi="Arial"/>
                <w:sz w:val="18"/>
                <w:szCs w:val="18"/>
              </w:rPr>
              <w:t xml:space="preserve">Para la mayoría de instituciones educativas (desde pequeñas hasta grandes universidades), la arquitectura Cliente-Servidor es la más adecuada como núcleo del SGA, complementada estratégicamente con componentes distribuidos para analítica y caché. Se recomienda PostgreSQL 16 como DBMS principal.</w:t>
            </w:r>
          </w:p>
        </w:tc>
      </w:tr>
    </w:tbl>
    <w:p>
      <w:pPr>
        <w:spacing w:after="160" w:before="160"/>
      </w:pPr>
    </w:p>
    <w:p>
      <w:pPr>
        <w:pStyle w:val="Heading2"/>
        <w:spacing w:after="120" w:before="240"/>
      </w:pPr>
      <w:r>
        <w:rPr>
          <w:rFonts w:ascii="Arial" w:cs="Arial" w:eastAsia="Arial" w:hAnsi="Arial"/>
          <w:b/>
          <w:bCs/>
          <w:color w:val="2E75B6"/>
          <w:sz w:val="24"/>
          <w:szCs w:val="24"/>
        </w:rPr>
        <w:t xml:space="preserve">6.3 Arquitectura Híbrida Recomendada por Módulo</w:t>
      </w:r>
    </w:p>
    <w:p>
      <w:pPr>
        <w:spacing w:after="120" w:before="0" w:line="276"/>
        <w:jc w:val="both"/>
      </w:pPr>
      <w:r>
        <w:rPr>
          <w:rFonts w:ascii="Arial" w:cs="Arial" w:eastAsia="Arial" w:hAnsi="Arial"/>
          <w:b w:val="false"/>
          <w:bCs w:val="false"/>
          <w:i w:val="false"/>
          <w:iCs w:val="false"/>
          <w:color w:val="000000"/>
          <w:sz w:val="20"/>
          <w:szCs w:val="20"/>
        </w:rPr>
        <w:t xml:space="preserve">Una arquitectura híbrida inteligente permite aprovechar las fortalezas de cada paradigma según el módulo funcional:</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8"/>
              <w:left w:val="single" w:color="1F4E79" w:sz="8"/>
              <w:bottom w:val="single" w:color="1F4E79" w:sz="8"/>
              <w:right w:val="single" w:color="1F4E79" w:sz="8"/>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Componente / Módulo</w:t>
            </w:r>
          </w:p>
        </w:tc>
        <w:tc>
          <w:tcPr>
            <w:tcW w:type="dxa" w:w="4680"/>
            <w:tcBorders>
              <w:top w:val="single" w:color="1F4E79" w:sz="8"/>
              <w:left w:val="single" w:color="1F4E79" w:sz="8"/>
              <w:bottom w:val="single" w:color="1F4E79" w:sz="8"/>
              <w:right w:val="single" w:color="1F4E79" w:sz="8"/>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Arquitectura recomendada + DBMS</w:t>
            </w:r>
          </w:p>
        </w:tc>
      </w:tr>
      <w:tr>
        <w:tc>
          <w:tcPr>
            <w:tcW w:type="dxa" w:w="4680"/>
            <w:tcBorders>
              <w:top w:val="single" w:color="CCCCCC" w:sz="8"/>
              <w:left w:val="single" w:color="CCCCCC" w:sz="8"/>
              <w:bottom w:val="single" w:color="CCCCCC" w:sz="8"/>
              <w:right w:val="single" w:color="CCCCCC" w:sz="8"/>
            </w:tcBorders>
            <w:shd w:fill="DEEAF1" w:val="clear"/>
            <w:tcMar>
              <w:top w:type="dxa" w:w="80"/>
              <w:left w:type="dxa" w:w="120"/>
              <w:bottom w:type="dxa" w:w="80"/>
              <w:right w:type="dxa" w:w="120"/>
            </w:tcMar>
            <w:vAlign w:val="center"/>
          </w:tcPr>
          <w:p>
            <w:r>
              <w:rPr>
                <w:rFonts w:ascii="Arial" w:cs="Arial" w:eastAsia="Arial" w:hAnsi="Arial"/>
                <w:b/>
                <w:bCs/>
                <w:color w:val="000000"/>
                <w:sz w:val="18"/>
                <w:szCs w:val="18"/>
              </w:rPr>
              <w:t xml:space="preserve">Datos maestros (alumnos, docentes, cursos)</w:t>
            </w:r>
          </w:p>
        </w:tc>
        <w:tc>
          <w:tcPr>
            <w:tcW w:type="dxa" w:w="4680"/>
            <w:tcBorders>
              <w:top w:val="single" w:color="CCCCCC" w:sz="8"/>
              <w:left w:val="single" w:color="CCCCCC" w:sz="8"/>
              <w:bottom w:val="single" w:color="CCCCCC" w:sz="8"/>
              <w:right w:val="single" w:color="CCCCCC" w:sz="8"/>
            </w:tcBorders>
            <w:shd w:fill="DEEAF1"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Cliente-Servidor → PostgreSQL 16</w:t>
            </w:r>
          </w:p>
        </w:tc>
      </w:tr>
      <w:tr>
        <w:tc>
          <w:tcPr>
            <w:tcW w:type="dxa" w:w="468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Historial académico y calificaciones</w:t>
            </w:r>
          </w:p>
        </w:tc>
        <w:tc>
          <w:tcPr>
            <w:tcW w:type="dxa" w:w="468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Cliente-Servidor → MySQL 8 / SQL Server 2022</w:t>
            </w:r>
          </w:p>
        </w:tc>
      </w:tr>
      <w:tr>
        <w:tc>
          <w:tcPr>
            <w:tcW w:type="dxa" w:w="4680"/>
            <w:tcBorders>
              <w:top w:val="single" w:color="CCCCCC" w:sz="8"/>
              <w:left w:val="single" w:color="CCCCCC" w:sz="8"/>
              <w:bottom w:val="single" w:color="CCCCCC" w:sz="8"/>
              <w:right w:val="single" w:color="CCCCCC" w:sz="8"/>
            </w:tcBorders>
            <w:shd w:fill="DEEAF1" w:val="clear"/>
            <w:tcMar>
              <w:top w:type="dxa" w:w="80"/>
              <w:left w:type="dxa" w:w="120"/>
              <w:bottom w:type="dxa" w:w="80"/>
              <w:right w:type="dxa" w:w="120"/>
            </w:tcMar>
            <w:vAlign w:val="center"/>
          </w:tcPr>
          <w:p>
            <w:r>
              <w:rPr>
                <w:rFonts w:ascii="Arial" w:cs="Arial" w:eastAsia="Arial" w:hAnsi="Arial"/>
                <w:b/>
                <w:bCs/>
                <w:color w:val="000000"/>
                <w:sz w:val="18"/>
                <w:szCs w:val="18"/>
              </w:rPr>
              <w:t xml:space="preserve">Reportes y analítica institucional</w:t>
            </w:r>
          </w:p>
        </w:tc>
        <w:tc>
          <w:tcPr>
            <w:tcW w:type="dxa" w:w="4680"/>
            <w:tcBorders>
              <w:top w:val="single" w:color="CCCCCC" w:sz="8"/>
              <w:left w:val="single" w:color="CCCCCC" w:sz="8"/>
              <w:bottom w:val="single" w:color="CCCCCC" w:sz="8"/>
              <w:right w:val="single" w:color="CCCCCC" w:sz="8"/>
            </w:tcBorders>
            <w:shd w:fill="DEEAF1"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Distribuida → Google Spanner / BigQuery</w:t>
            </w:r>
          </w:p>
        </w:tc>
      </w:tr>
      <w:tr>
        <w:tc>
          <w:tcPr>
            <w:tcW w:type="dxa" w:w="468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Sesiones y caché de portal web</w:t>
            </w:r>
          </w:p>
        </w:tc>
        <w:tc>
          <w:tcPr>
            <w:tcW w:type="dxa" w:w="468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Distribuida → Redis Cluster</w:t>
            </w:r>
          </w:p>
        </w:tc>
      </w:tr>
      <w:tr>
        <w:tc>
          <w:tcPr>
            <w:tcW w:type="dxa" w:w="4680"/>
            <w:tcBorders>
              <w:top w:val="single" w:color="CCCCCC" w:sz="8"/>
              <w:left w:val="single" w:color="CCCCCC" w:sz="8"/>
              <w:bottom w:val="single" w:color="CCCCCC" w:sz="8"/>
              <w:right w:val="single" w:color="CCCCCC" w:sz="8"/>
            </w:tcBorders>
            <w:shd w:fill="DEEAF1" w:val="clear"/>
            <w:tcMar>
              <w:top w:type="dxa" w:w="80"/>
              <w:left w:type="dxa" w:w="120"/>
              <w:bottom w:type="dxa" w:w="80"/>
              <w:right w:type="dxa" w:w="120"/>
            </w:tcMar>
            <w:vAlign w:val="center"/>
          </w:tcPr>
          <w:p>
            <w:r>
              <w:rPr>
                <w:rFonts w:ascii="Arial" w:cs="Arial" w:eastAsia="Arial" w:hAnsi="Arial"/>
                <w:b/>
                <w:bCs/>
                <w:color w:val="000000"/>
                <w:sz w:val="18"/>
                <w:szCs w:val="18"/>
              </w:rPr>
              <w:t xml:space="preserve">Documentos y adjuntos (sílabos, tesis)</w:t>
            </w:r>
          </w:p>
        </w:tc>
        <w:tc>
          <w:tcPr>
            <w:tcW w:type="dxa" w:w="4680"/>
            <w:tcBorders>
              <w:top w:val="single" w:color="CCCCCC" w:sz="8"/>
              <w:left w:val="single" w:color="CCCCCC" w:sz="8"/>
              <w:bottom w:val="single" w:color="CCCCCC" w:sz="8"/>
              <w:right w:val="single" w:color="CCCCCC" w:sz="8"/>
            </w:tcBorders>
            <w:shd w:fill="DEEAF1"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Distribuida → MongoDB Atlas</w:t>
            </w:r>
          </w:p>
        </w:tc>
      </w:tr>
      <w:tr>
        <w:tc>
          <w:tcPr>
            <w:tcW w:type="dxa" w:w="468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r>
              <w:rPr>
                <w:rFonts w:ascii="Arial" w:cs="Arial" w:eastAsia="Arial" w:hAnsi="Arial"/>
                <w:b/>
                <w:bCs/>
                <w:color w:val="000000"/>
                <w:sz w:val="18"/>
                <w:szCs w:val="18"/>
              </w:rPr>
              <w:t xml:space="preserve">Pequeñas instalaciones (&lt;500 usuarios)</w:t>
            </w:r>
          </w:p>
        </w:tc>
        <w:tc>
          <w:tcPr>
            <w:tcW w:type="dxa" w:w="4680"/>
            <w:tcBorders>
              <w:top w:val="single" w:color="CCCCCC" w:sz="8"/>
              <w:left w:val="single" w:color="CCCCCC" w:sz="8"/>
              <w:bottom w:val="single" w:color="CCCCCC" w:sz="8"/>
              <w:right w:val="single" w:color="CCCCCC" w:sz="8"/>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Centralizada → SQLite / PostgreSQL local</w:t>
            </w:r>
          </w:p>
        </w:tc>
      </w:tr>
    </w:tbl>
    <w:p>
      <w:pPr>
        <w:spacing w:after="160" w:before="160"/>
      </w:pPr>
    </w:p>
    <w:p>
      <w:pPr>
        <w:pStyle w:val="Heading2"/>
        <w:spacing w:after="120" w:before="240"/>
      </w:pPr>
      <w:r>
        <w:rPr>
          <w:rFonts w:ascii="Arial" w:cs="Arial" w:eastAsia="Arial" w:hAnsi="Arial"/>
          <w:b/>
          <w:bCs/>
          <w:color w:val="2E75B6"/>
          <w:sz w:val="24"/>
          <w:szCs w:val="24"/>
        </w:rPr>
        <w:t xml:space="preserve">6.4 Justificación de la Recomendación</w:t>
      </w:r>
    </w:p>
    <w:p>
      <w:pPr>
        <w:pStyle w:val="ListParagraph"/>
        <w:numPr>
          <w:ilvl w:val="0"/>
          <w:numId w:val="2"/>
        </w:numPr>
        <w:spacing w:after="60" w:before="40"/>
      </w:pPr>
      <w:r>
        <w:rPr>
          <w:rFonts w:ascii="Arial" w:cs="Arial" w:eastAsia="Arial" w:hAnsi="Arial"/>
          <w:sz w:val="19"/>
          <w:szCs w:val="19"/>
        </w:rPr>
        <w:t xml:space="preserve">Madurez tecnológica: PostgreSQL y MySQL tienen décadas de desarrollo, amplia comunidad, soporte empresarial y ecosistema de herramientas maduro.</w:t>
      </w:r>
    </w:p>
    <w:p>
      <w:pPr>
        <w:pStyle w:val="ListParagraph"/>
        <w:numPr>
          <w:ilvl w:val="0"/>
          <w:numId w:val="2"/>
        </w:numPr>
        <w:spacing w:after="60" w:before="40"/>
      </w:pPr>
      <w:r>
        <w:rPr>
          <w:rFonts w:ascii="Arial" w:cs="Arial" w:eastAsia="Arial" w:hAnsi="Arial"/>
          <w:sz w:val="19"/>
          <w:szCs w:val="19"/>
        </w:rPr>
        <w:t xml:space="preserve">Consistencia transaccional: las matrículas, calificaciones y récords académicos requieren ACID estricto, propiedad nativa de los DBMS cliente-servidor.</w:t>
      </w:r>
    </w:p>
    <w:p>
      <w:pPr>
        <w:pStyle w:val="ListParagraph"/>
        <w:numPr>
          <w:ilvl w:val="0"/>
          <w:numId w:val="2"/>
        </w:numPr>
        <w:spacing w:after="60" w:before="40"/>
      </w:pPr>
      <w:r>
        <w:rPr>
          <w:rFonts w:ascii="Arial" w:cs="Arial" w:eastAsia="Arial" w:hAnsi="Arial"/>
          <w:sz w:val="19"/>
          <w:szCs w:val="19"/>
        </w:rPr>
        <w:t xml:space="preserve">Costo-beneficio: las licencias open-source (PostgreSQL, MySQL) reducen el costo total, manteniendo rendimiento enterprise.</w:t>
      </w:r>
    </w:p>
    <w:p>
      <w:pPr>
        <w:pStyle w:val="ListParagraph"/>
        <w:numPr>
          <w:ilvl w:val="0"/>
          <w:numId w:val="2"/>
        </w:numPr>
        <w:spacing w:after="60" w:before="40"/>
      </w:pPr>
      <w:r>
        <w:rPr>
          <w:rFonts w:ascii="Arial" w:cs="Arial" w:eastAsia="Arial" w:hAnsi="Arial"/>
          <w:sz w:val="19"/>
          <w:szCs w:val="19"/>
        </w:rPr>
        <w:t xml:space="preserve">Escalabilidad suficiente: para el 95% de instituciones educativas, la escalabilidad vertical + replicación es más que suficiente. Solo las megauniversidades con decenas de miles de usuarios necesitarían distribución total.</w:t>
      </w:r>
    </w:p>
    <w:p>
      <w:pPr>
        <w:pStyle w:val="ListParagraph"/>
        <w:numPr>
          <w:ilvl w:val="0"/>
          <w:numId w:val="2"/>
        </w:numPr>
        <w:spacing w:after="60" w:before="40"/>
      </w:pPr>
      <w:r>
        <w:rPr>
          <w:rFonts w:ascii="Arial" w:cs="Arial" w:eastAsia="Arial" w:hAnsi="Arial"/>
          <w:sz w:val="19"/>
          <w:szCs w:val="19"/>
        </w:rPr>
        <w:t xml:space="preserve">Equipo técnico disponible: hay mayor disponibilidad de profesionales capacitados en SQL y DBMS cliente-servidor que en sistemas distribuidos.</w:t>
      </w:r>
    </w:p>
    <w:p>
      <w:pPr>
        <w:pStyle w:val="ListParagraph"/>
        <w:numPr>
          <w:ilvl w:val="0"/>
          <w:numId w:val="2"/>
        </w:numPr>
        <w:spacing w:after="60" w:before="40"/>
      </w:pPr>
      <w:r>
        <w:rPr>
          <w:rFonts w:ascii="Arial" w:cs="Arial" w:eastAsia="Arial" w:hAnsi="Arial"/>
          <w:sz w:val="19"/>
          <w:szCs w:val="19"/>
        </w:rPr>
        <w:t xml:space="preserve">Integración con sistemas existentes: la mayoría de plataformas académicas (Moodle, SAP, Banner) están diseñadas para trabajar con DBMS relacionales cliente-servidor.</w:t>
      </w:r>
    </w:p>
    <w:p>
      <w:pPr>
        <w:spacing w:after="160" w:before="160"/>
      </w:pPr>
    </w:p>
    <w:p>
      <w:pPr>
        <w:pStyle w:val="Heading2"/>
        <w:spacing w:after="120" w:before="240"/>
      </w:pPr>
      <w:r>
        <w:rPr>
          <w:rFonts w:ascii="Arial" w:cs="Arial" w:eastAsia="Arial" w:hAnsi="Arial"/>
          <w:b/>
          <w:bCs/>
          <w:color w:val="2E75B6"/>
          <w:sz w:val="24"/>
          <w:szCs w:val="24"/>
        </w:rPr>
        <w:t xml:space="preserve">6.5 Cuándo Escalar a una Arquitectura Distribuida</w:t>
      </w:r>
    </w:p>
    <w:p>
      <w:pPr>
        <w:spacing w:after="120" w:before="0" w:line="276"/>
        <w:jc w:val="both"/>
      </w:pPr>
      <w:r>
        <w:rPr>
          <w:rFonts w:ascii="Arial" w:cs="Arial" w:eastAsia="Arial" w:hAnsi="Arial"/>
          <w:b w:val="false"/>
          <w:bCs w:val="false"/>
          <w:i w:val="false"/>
          <w:iCs w:val="false"/>
          <w:color w:val="000000"/>
          <w:sz w:val="20"/>
          <w:szCs w:val="20"/>
        </w:rPr>
        <w:t xml:space="preserve">Se recomienda evaluar la migración parcial o total hacia arquitectura distribuida cuando:</w:t>
      </w:r>
    </w:p>
    <w:p>
      <w:pPr>
        <w:spacing w:after="80" w:before="80"/>
      </w:pPr>
    </w:p>
    <w:p>
      <w:pPr>
        <w:pStyle w:val="ListParagraph"/>
        <w:numPr>
          <w:ilvl w:val="0"/>
          <w:numId w:val="2"/>
        </w:numPr>
        <w:spacing w:after="60" w:before="40"/>
      </w:pPr>
      <w:r>
        <w:rPr>
          <w:rFonts w:ascii="Arial" w:cs="Arial" w:eastAsia="Arial" w:hAnsi="Arial"/>
          <w:sz w:val="19"/>
          <w:szCs w:val="19"/>
        </w:rPr>
        <w:t xml:space="preserve">El número de usuarios concurrentes supera los 10,000 activos simultáneamente.</w:t>
      </w:r>
    </w:p>
    <w:p>
      <w:pPr>
        <w:pStyle w:val="ListParagraph"/>
        <w:numPr>
          <w:ilvl w:val="0"/>
          <w:numId w:val="2"/>
        </w:numPr>
        <w:spacing w:after="60" w:before="40"/>
      </w:pPr>
      <w:r>
        <w:rPr>
          <w:rFonts w:ascii="Arial" w:cs="Arial" w:eastAsia="Arial" w:hAnsi="Arial"/>
          <w:sz w:val="19"/>
          <w:szCs w:val="19"/>
        </w:rPr>
        <w:t xml:space="preserve">La institución tiene sedes en múltiples países o regiones con latencia inaceptable.</w:t>
      </w:r>
    </w:p>
    <w:p>
      <w:pPr>
        <w:pStyle w:val="ListParagraph"/>
        <w:numPr>
          <w:ilvl w:val="0"/>
          <w:numId w:val="2"/>
        </w:numPr>
        <w:spacing w:after="60" w:before="40"/>
      </w:pPr>
      <w:r>
        <w:rPr>
          <w:rFonts w:ascii="Arial" w:cs="Arial" w:eastAsia="Arial" w:hAnsi="Arial"/>
          <w:sz w:val="19"/>
          <w:szCs w:val="19"/>
        </w:rPr>
        <w:t xml:space="preserve">Los volúmenes de datos superan los 10 TB y el crecimiento es constante.</w:t>
      </w:r>
    </w:p>
    <w:p>
      <w:pPr>
        <w:pStyle w:val="ListParagraph"/>
        <w:numPr>
          <w:ilvl w:val="0"/>
          <w:numId w:val="2"/>
        </w:numPr>
        <w:spacing w:after="60" w:before="40"/>
      </w:pPr>
      <w:r>
        <w:rPr>
          <w:rFonts w:ascii="Arial" w:cs="Arial" w:eastAsia="Arial" w:hAnsi="Arial"/>
          <w:sz w:val="19"/>
          <w:szCs w:val="19"/>
        </w:rPr>
        <w:t xml:space="preserve">Se requiere disponibilidad 99.99% (Four Nines) para operaciones críticas.</w:t>
      </w:r>
    </w:p>
    <w:p>
      <w:pPr>
        <w:pStyle w:val="ListParagraph"/>
        <w:numPr>
          <w:ilvl w:val="0"/>
          <w:numId w:val="2"/>
        </w:numPr>
        <w:spacing w:after="60" w:before="40"/>
      </w:pPr>
      <w:r>
        <w:rPr>
          <w:rFonts w:ascii="Arial" w:cs="Arial" w:eastAsia="Arial" w:hAnsi="Arial"/>
          <w:sz w:val="19"/>
          <w:szCs w:val="19"/>
        </w:rPr>
        <w:t xml:space="preserve">Se implementan proyectos de analítica avanzada o machine learning sobre datos académicos.</w:t>
      </w:r>
    </w:p>
    <w:p>
      <w:r>
        <w:br w:type="page"/>
      </w:r>
    </w:p>
    <w:p>
      <w:pPr>
        <w:pStyle w:val="Heading1"/>
        <w:spacing w:after="180" w:before="360"/>
      </w:pPr>
      <w:r>
        <w:rPr>
          <w:rFonts w:ascii="Arial" w:cs="Arial" w:eastAsia="Arial" w:hAnsi="Arial"/>
          <w:b/>
          <w:bCs/>
          <w:color w:val="1F4E79"/>
          <w:sz w:val="28"/>
          <w:szCs w:val="28"/>
        </w:rPr>
        <w:t xml:space="preserve">7. Conclusiones</w:t>
      </w:r>
    </w:p>
    <w:p>
      <w:pPr>
        <w:spacing w:after="120" w:before="0" w:line="276"/>
        <w:jc w:val="both"/>
      </w:pPr>
      <w:r>
        <w:rPr>
          <w:rFonts w:ascii="Arial" w:cs="Arial" w:eastAsia="Arial" w:hAnsi="Arial"/>
          <w:b w:val="false"/>
          <w:bCs w:val="false"/>
          <w:i w:val="false"/>
          <w:iCs w:val="false"/>
          <w:color w:val="000000"/>
          <w:sz w:val="20"/>
          <w:szCs w:val="20"/>
        </w:rPr>
        <w:t xml:space="preserve">El análisis comparativo de las tres arquitecturas de bases de datos permite extraer las siguientes conclusiones:</w:t>
      </w:r>
    </w:p>
    <w:p>
      <w:pPr>
        <w:spacing w:after="80" w:before="80"/>
      </w:pPr>
    </w:p>
    <w:p>
      <w:pPr>
        <w:pStyle w:val="ListParagraph"/>
        <w:numPr>
          <w:ilvl w:val="0"/>
          <w:numId w:val="2"/>
        </w:numPr>
        <w:spacing w:after="60" w:before="40"/>
      </w:pPr>
      <w:r>
        <w:rPr>
          <w:rFonts w:ascii="Arial" w:cs="Arial" w:eastAsia="Arial" w:hAnsi="Arial"/>
          <w:sz w:val="19"/>
          <w:szCs w:val="19"/>
        </w:rPr>
        <w:t xml:space="preserve">No existe una arquitectura universalmente superior. La elección depende del contexto específico: tamaño de la institución, volumen de datos, presupuesto, necesidades de disponibilidad y capacidades del equipo técnico.</w:t>
      </w:r>
    </w:p>
    <w:p>
      <w:pPr>
        <w:pStyle w:val="ListParagraph"/>
        <w:numPr>
          <w:ilvl w:val="0"/>
          <w:numId w:val="2"/>
        </w:numPr>
        <w:spacing w:after="60" w:before="40"/>
      </w:pPr>
      <w:r>
        <w:rPr>
          <w:rFonts w:ascii="Arial" w:cs="Arial" w:eastAsia="Arial" w:hAnsi="Arial"/>
          <w:sz w:val="19"/>
          <w:szCs w:val="19"/>
        </w:rPr>
        <w:t xml:space="preserve">La arquitectura centralizada es idónea para entornos pequeños, prototipos o sistemas con usuario único, pero resulta inadecuada para sistemas de misión crítica por su inherente punto único de fallo.</w:t>
      </w:r>
    </w:p>
    <w:p>
      <w:pPr>
        <w:pStyle w:val="ListParagraph"/>
        <w:numPr>
          <w:ilvl w:val="0"/>
          <w:numId w:val="2"/>
        </w:numPr>
        <w:spacing w:after="60" w:before="40"/>
      </w:pPr>
      <w:r>
        <w:rPr>
          <w:rFonts w:ascii="Arial" w:cs="Arial" w:eastAsia="Arial" w:hAnsi="Arial"/>
          <w:sz w:val="19"/>
          <w:szCs w:val="19"/>
        </w:rPr>
        <w:t xml:space="preserve">La arquitectura cliente-servidor representa el equilibrio óptimo entre simplicidad, rendimiento, consistencia y costo para la gran mayoría de los sistemas de información empresariales y académicos. Es la opción recomendada para un SGA.</w:t>
      </w:r>
    </w:p>
    <w:p>
      <w:pPr>
        <w:pStyle w:val="ListParagraph"/>
        <w:numPr>
          <w:ilvl w:val="0"/>
          <w:numId w:val="2"/>
        </w:numPr>
        <w:spacing w:after="60" w:before="40"/>
      </w:pPr>
      <w:r>
        <w:rPr>
          <w:rFonts w:ascii="Arial" w:cs="Arial" w:eastAsia="Arial" w:hAnsi="Arial"/>
          <w:sz w:val="19"/>
          <w:szCs w:val="19"/>
        </w:rPr>
        <w:t xml:space="preserve">La arquitectura distribuida ofrece ventajas significativas en escalabilidad y disponibilidad, pero conlleva una complejidad operativa considerable. Su adopción debe ser incremental y justificada por necesidades específicas de escala.</w:t>
      </w:r>
    </w:p>
    <w:p>
      <w:pPr>
        <w:pStyle w:val="ListParagraph"/>
        <w:numPr>
          <w:ilvl w:val="0"/>
          <w:numId w:val="2"/>
        </w:numPr>
        <w:spacing w:after="60" w:before="40"/>
      </w:pPr>
      <w:r>
        <w:rPr>
          <w:rFonts w:ascii="Arial" w:cs="Arial" w:eastAsia="Arial" w:hAnsi="Arial"/>
          <w:sz w:val="19"/>
          <w:szCs w:val="19"/>
        </w:rPr>
        <w:t xml:space="preserve">La tendencia actual apunta hacia arquitecturas híbridas: un núcleo cliente-servidor para datos transaccionales críticos, combinado con componentes distribuidos para caché, analítica y contenido no estructurado.</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8"/>
            </w:tcBorders>
            <w:shd w:fill="DEEAF1" w:val="clear"/>
            <w:tcMar>
              <w:top w:type="dxa" w:w="120"/>
              <w:left w:type="dxa" w:w="200"/>
              <w:bottom w:type="dxa" w:w="120"/>
              <w:right w:type="dxa" w:w="120"/>
            </w:tcMar>
          </w:tcPr>
          <w:p>
            <w:r>
              <w:rPr>
                <w:rFonts w:ascii="Arial" w:cs="Arial" w:eastAsia="Arial" w:hAnsi="Arial"/>
                <w:b/>
                <w:bCs/>
                <w:color w:val="2E75B6"/>
                <w:sz w:val="20"/>
                <w:szCs w:val="20"/>
              </w:rPr>
              <w:t xml:space="preserve">📌 Conclusión Final</w:t>
            </w:r>
          </w:p>
          <w:p>
            <w:pPr>
              <w:spacing w:before="60"/>
            </w:pPr>
            <w:r>
              <w:rPr>
                <w:rFonts w:ascii="Arial" w:cs="Arial" w:eastAsia="Arial" w:hAnsi="Arial"/>
                <w:sz w:val="18"/>
                <w:szCs w:val="18"/>
              </w:rPr>
              <w:t xml:space="preserve">Para un Sistema de Gestión Académica moderno, se recomienda implementar una arquitectura cliente-servidor con PostgreSQL 16 como DBMS principal, enriquecida con Redis para caché de sesiones y MongoDB Atlas o Google BigQuery para analítica e informes institucionales. Esta combinación ofrece el mejor balance entre robustez, costo, mantenibilidad y capacidad de evolución futura.</w:t>
            </w:r>
          </w:p>
        </w:tc>
      </w:tr>
    </w:tbl>
    <w:p>
      <w:r>
        <w:br w:type="page"/>
      </w:r>
    </w:p>
    <w:p>
      <w:pPr>
        <w:pStyle w:val="Heading1"/>
        <w:spacing w:after="180" w:before="360"/>
      </w:pPr>
      <w:r>
        <w:rPr>
          <w:rFonts w:ascii="Arial" w:cs="Arial" w:eastAsia="Arial" w:hAnsi="Arial"/>
          <w:b/>
          <w:bCs/>
          <w:color w:val="1F4E79"/>
          <w:sz w:val="28"/>
          <w:szCs w:val="28"/>
        </w:rPr>
        <w:t xml:space="preserve">8. Referencias Bibliográficas</w:t>
      </w:r>
    </w:p>
    <w:p>
      <w:pPr>
        <w:pStyle w:val="ListParagraph"/>
        <w:numPr>
          <w:ilvl w:val="0"/>
          <w:numId w:val="2"/>
        </w:numPr>
        <w:spacing w:after="60" w:before="40"/>
      </w:pPr>
      <w:r>
        <w:rPr>
          <w:rFonts w:ascii="Arial" w:cs="Arial" w:eastAsia="Arial" w:hAnsi="Arial"/>
          <w:sz w:val="19"/>
          <w:szCs w:val="19"/>
        </w:rPr>
        <w:t xml:space="preserve">Silberschatz, A., Korth, H. F., &amp; Sudarshan, S. (2019). Database System Concepts (7th ed.). McGraw-Hill Education.</w:t>
      </w:r>
    </w:p>
    <w:p>
      <w:pPr>
        <w:pStyle w:val="ListParagraph"/>
        <w:numPr>
          <w:ilvl w:val="0"/>
          <w:numId w:val="2"/>
        </w:numPr>
        <w:spacing w:after="60" w:before="40"/>
      </w:pPr>
      <w:r>
        <w:rPr>
          <w:rFonts w:ascii="Arial" w:cs="Arial" w:eastAsia="Arial" w:hAnsi="Arial"/>
          <w:sz w:val="19"/>
          <w:szCs w:val="19"/>
        </w:rPr>
        <w:t xml:space="preserve">Ozsu, M. T., &amp; Valduriez, P. (2020). Principles of Distributed Database Systems (4th ed.). Springer.</w:t>
      </w:r>
    </w:p>
    <w:p>
      <w:pPr>
        <w:pStyle w:val="ListParagraph"/>
        <w:numPr>
          <w:ilvl w:val="0"/>
          <w:numId w:val="2"/>
        </w:numPr>
        <w:spacing w:after="60" w:before="40"/>
      </w:pPr>
      <w:r>
        <w:rPr>
          <w:rFonts w:ascii="Arial" w:cs="Arial" w:eastAsia="Arial" w:hAnsi="Arial"/>
          <w:sz w:val="19"/>
          <w:szCs w:val="19"/>
        </w:rPr>
        <w:t xml:space="preserve">Date, C. J. (2018). An Introduction to Database Systems (8th ed.). Addison-Wesley.</w:t>
      </w:r>
    </w:p>
    <w:p>
      <w:pPr>
        <w:pStyle w:val="ListParagraph"/>
        <w:numPr>
          <w:ilvl w:val="0"/>
          <w:numId w:val="2"/>
        </w:numPr>
        <w:spacing w:after="60" w:before="40"/>
      </w:pPr>
      <w:r>
        <w:rPr>
          <w:rFonts w:ascii="Arial" w:cs="Arial" w:eastAsia="Arial" w:hAnsi="Arial"/>
          <w:sz w:val="19"/>
          <w:szCs w:val="19"/>
        </w:rPr>
        <w:t xml:space="preserve">Brewer, E. A. (2000). Towards Robust Distributed Systems. Proceedings of the Annual ACM Symposium on Principles of Distributed Computing.</w:t>
      </w:r>
    </w:p>
    <w:p>
      <w:pPr>
        <w:pStyle w:val="ListParagraph"/>
        <w:numPr>
          <w:ilvl w:val="0"/>
          <w:numId w:val="2"/>
        </w:numPr>
        <w:spacing w:after="60" w:before="40"/>
      </w:pPr>
      <w:r>
        <w:rPr>
          <w:rFonts w:ascii="Arial" w:cs="Arial" w:eastAsia="Arial" w:hAnsi="Arial"/>
          <w:sz w:val="19"/>
          <w:szCs w:val="19"/>
        </w:rPr>
        <w:t xml:space="preserve">PostgreSQL Global Development Group. (2024). PostgreSQL 16 Documentation. https://www.postgresql.org/docs/16/</w:t>
      </w:r>
    </w:p>
    <w:p>
      <w:pPr>
        <w:pStyle w:val="ListParagraph"/>
        <w:numPr>
          <w:ilvl w:val="0"/>
          <w:numId w:val="2"/>
        </w:numPr>
        <w:spacing w:after="60" w:before="40"/>
      </w:pPr>
      <w:r>
        <w:rPr>
          <w:rFonts w:ascii="Arial" w:cs="Arial" w:eastAsia="Arial" w:hAnsi="Arial"/>
          <w:sz w:val="19"/>
          <w:szCs w:val="19"/>
        </w:rPr>
        <w:t xml:space="preserve">MongoDB Inc. (2024). MongoDB Atlas Documentation. https://www.mongodb.com/docs/atlas/</w:t>
      </w:r>
    </w:p>
    <w:p>
      <w:pPr>
        <w:pStyle w:val="ListParagraph"/>
        <w:numPr>
          <w:ilvl w:val="0"/>
          <w:numId w:val="2"/>
        </w:numPr>
        <w:spacing w:after="60" w:before="40"/>
      </w:pPr>
      <w:r>
        <w:rPr>
          <w:rFonts w:ascii="Arial" w:cs="Arial" w:eastAsia="Arial" w:hAnsi="Arial"/>
          <w:sz w:val="19"/>
          <w:szCs w:val="19"/>
        </w:rPr>
        <w:t xml:space="preserve">Google Cloud. (2024). Cloud Spanner Documentation. https://cloud.google.com/spanner/docs</w:t>
      </w:r>
    </w:p>
    <w:p>
      <w:pPr>
        <w:pStyle w:val="ListParagraph"/>
        <w:numPr>
          <w:ilvl w:val="0"/>
          <w:numId w:val="2"/>
        </w:numPr>
        <w:spacing w:after="60" w:before="40"/>
      </w:pPr>
      <w:r>
        <w:rPr>
          <w:rFonts w:ascii="Arial" w:cs="Arial" w:eastAsia="Arial" w:hAnsi="Arial"/>
          <w:sz w:val="19"/>
          <w:szCs w:val="19"/>
        </w:rPr>
        <w:t xml:space="preserve">Apache Software Foundation. (2024). Apache Cassandra Documentation. https://cassandra.apache.org/doc/</w:t>
      </w:r>
    </w:p>
    <w:p>
      <w:pPr>
        <w:pStyle w:val="ListParagraph"/>
        <w:numPr>
          <w:ilvl w:val="0"/>
          <w:numId w:val="2"/>
        </w:numPr>
        <w:spacing w:after="60" w:before="40"/>
      </w:pPr>
      <w:r>
        <w:rPr>
          <w:rFonts w:ascii="Arial" w:cs="Arial" w:eastAsia="Arial" w:hAnsi="Arial"/>
          <w:sz w:val="19"/>
          <w:szCs w:val="19"/>
        </w:rPr>
        <w:t xml:space="preserve">Cockroach Labs. (2024). CockroachDB Documentation. https://www.cockroachlabs.com/docs/</w:t>
      </w:r>
    </w:p>
    <w:p>
      <w:pPr>
        <w:pStyle w:val="ListParagraph"/>
        <w:numPr>
          <w:ilvl w:val="0"/>
          <w:numId w:val="2"/>
        </w:numPr>
        <w:spacing w:after="60" w:before="40"/>
      </w:pPr>
      <w:r>
        <w:rPr>
          <w:rFonts w:ascii="Arial" w:cs="Arial" w:eastAsia="Arial" w:hAnsi="Arial"/>
          <w:sz w:val="19"/>
          <w:szCs w:val="19"/>
        </w:rPr>
        <w:t xml:space="preserve">Ramakrishnan, R., &amp; Gehrke, J. (2019). Database Management Systems (3rd ed.). McGraw-Hill.</w:t>
      </w:r>
    </w:p>
    <w:sectPr>
      <w:headerReference w:type="default" r:id="rId7"/>
      <w:footerReference w:type="default" r:id="rId8"/>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6"/>
      </w:pBdr>
      <w:spacing w:before="0"/>
    </w:pPr>
    <w:r>
      <w:rPr>
        <w:rFonts w:ascii="Arial" w:cs="Arial" w:eastAsia="Arial" w:hAnsi="Arial"/>
        <w:i/>
        <w:iCs/>
        <w:color w:val="595959"/>
        <w:sz w:val="16"/>
        <w:szCs w:val="16"/>
      </w:rPr>
      <w:t xml:space="preserve">Elaborado con fines académicos — Arquitecturas de Bases de Datos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6"/>
      </w:pBdr>
      <w:tabs>
        <w:tab w:val="right" w:pos="9360"/>
      </w:tabs>
      <w:spacing w:after="0"/>
    </w:pPr>
    <w:r>
      <w:rPr>
        <w:rFonts w:ascii="Arial" w:cs="Arial" w:eastAsia="Arial" w:hAnsi="Arial"/>
        <w:color w:val="595959"/>
        <w:sz w:val="16"/>
        <w:szCs w:val="16"/>
      </w:rPr>
      <w:t xml:space="preserve">INFORME TÉCNICO COMPARATIVO — ARQUITECTURAS DE BASE DE DATOS</w:t>
    </w:r>
    <w:r>
      <w:rPr>
        <w:rFonts w:ascii="Arial" w:cs="Arial" w:eastAsia="Arial" w:hAnsi="Arial"/>
        <w:sz w:val="16"/>
        <w:szCs w:val="16"/>
      </w:rPr>
      <w:t xml:space="preserve">	</w:t>
    </w:r>
    <w:r>
      <w:rPr>
        <w:rFonts w:ascii="Arial" w:cs="Arial" w:eastAsia="Arial" w:hAnsi="Arial"/>
        <w:color w:val="595959"/>
        <w:sz w:val="16"/>
        <w:szCs w:val="16"/>
      </w:rPr>
      <w:t xml:space="preserve">Pág. </w:t>
    </w:r>
    <w:fldSimple w:instr="PAG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100" w:before="18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2026-04-14T06:21:49.954Z</dcterms:created>
  <dcterms:modified xsi:type="dcterms:W3CDTF">2026-04-14T06:21:49.954Z</dcterms:modified>
</cp:coreProperties>
</file>

<file path=docProps/custom.xml><?xml version="1.0" encoding="utf-8"?>
<Properties xmlns="http://schemas.openxmlformats.org/officeDocument/2006/custom-properties" xmlns:vt="http://schemas.openxmlformats.org/officeDocument/2006/docPropsVTypes"/>
</file>