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4B2D" w:rsidRPr="0021771E" w:rsidRDefault="00A14B2D" w:rsidP="00A14B2D">
      <w:pPr>
        <w:pStyle w:val="ac"/>
        <w:spacing w:before="0" w:beforeAutospacing="0" w:after="0" w:afterAutospacing="0" w:line="720" w:lineRule="auto"/>
        <w:jc w:val="center"/>
        <w:rPr>
          <w:rFonts w:ascii="黑体" w:eastAsia="黑体" w:hAnsi="黑体" w:cs="黑体"/>
          <w:color w:val="FF0000"/>
          <w:spacing w:val="46"/>
          <w:sz w:val="56"/>
          <w:szCs w:val="36"/>
        </w:rPr>
      </w:pPr>
      <w:bookmarkStart w:id="0" w:name="_GoBack"/>
      <w:bookmarkEnd w:id="0"/>
      <w:r w:rsidRPr="00A14B2D">
        <w:rPr>
          <w:rFonts w:ascii="黑体" w:eastAsia="黑体" w:hAnsi="黑体" w:cs="黑体" w:hint="eastAsia"/>
          <w:color w:val="FF0000"/>
          <w:spacing w:val="63"/>
          <w:sz w:val="56"/>
          <w:szCs w:val="36"/>
          <w:fitText w:val="8120" w:id="1015719424"/>
        </w:rPr>
        <w:t>上海市食品药品监督管理</w:t>
      </w:r>
      <w:r w:rsidRPr="00A14B2D">
        <w:rPr>
          <w:rFonts w:ascii="黑体" w:eastAsia="黑体" w:hAnsi="黑体" w:cs="黑体" w:hint="eastAsia"/>
          <w:color w:val="FF0000"/>
          <w:spacing w:val="7"/>
          <w:sz w:val="56"/>
          <w:szCs w:val="36"/>
          <w:fitText w:val="8120" w:id="1015719424"/>
        </w:rPr>
        <w:t>局</w:t>
      </w:r>
    </w:p>
    <w:p w:rsidR="008B53AC" w:rsidRPr="00A14B2D" w:rsidRDefault="008B53AC" w:rsidP="008B53AC">
      <w:pPr>
        <w:spacing w:line="540" w:lineRule="exact"/>
        <w:ind w:right="24"/>
        <w:rPr>
          <w:rFonts w:ascii="仿宋_GB2312" w:eastAsia="仿宋_GB2312"/>
          <w:color w:val="000000"/>
          <w:sz w:val="28"/>
          <w:szCs w:val="28"/>
        </w:rPr>
      </w:pPr>
    </w:p>
    <w:p w:rsidR="008B53AC" w:rsidRPr="00C55442" w:rsidRDefault="00C90139" w:rsidP="008B53AC">
      <w:pPr>
        <w:adjustRightInd w:val="0"/>
        <w:snapToGrid w:val="0"/>
        <w:spacing w:line="540" w:lineRule="exact"/>
        <w:jc w:val="center"/>
        <w:rPr>
          <w:rFonts w:ascii="仿宋_GB2312" w:eastAsia="仿宋_GB2312" w:hAnsi="华文仿宋"/>
          <w:color w:val="000000"/>
          <w:sz w:val="32"/>
          <w:szCs w:val="32"/>
        </w:rPr>
      </w:pPr>
      <w:r>
        <w:rPr>
          <w:rFonts w:ascii="黑体" w:eastAsia="黑体" w:hAnsi="黑体" w:cs="黑体"/>
          <w:noProof/>
          <w:color w:val="FF0000"/>
          <w:sz w:val="56"/>
          <w:szCs w:val="36"/>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313055</wp:posOffset>
                </wp:positionV>
                <wp:extent cx="5760085" cy="19050"/>
                <wp:effectExtent l="8890" t="12065" r="12700" b="1651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190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82E9D1" id="_x0000_t32" coordsize="21600,21600" o:spt="32" o:oned="t" path="m,l21600,21600e" filled="f">
                <v:path arrowok="t" fillok="f" o:connecttype="none"/>
                <o:lock v:ext="edit" shapetype="t"/>
              </v:shapetype>
              <v:shape id="AutoShape 2" o:spid="_x0000_s1026" type="#_x0000_t32" style="position:absolute;left:0;text-align:left;margin-left:-.05pt;margin-top:24.65pt;width:453.55pt;height: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" strokecolor="red" strokeweight="1.25pt"/>
            </w:pict>
          </mc:Fallback>
        </mc:AlternateContent>
      </w:r>
      <w:r w:rsidR="008B53AC">
        <w:rPr>
          <w:rFonts w:ascii="仿宋_GB2312" w:eastAsia="仿宋_GB2312" w:hAnsi="华文仿宋" w:cs="仿宋_GB2312" w:hint="eastAsia"/>
          <w:color w:val="000000"/>
          <w:sz w:val="32"/>
          <w:szCs w:val="32"/>
        </w:rPr>
        <w:t>沪食药监药械流</w:t>
      </w:r>
      <w:r w:rsidR="008B53AC" w:rsidRPr="00C55442">
        <w:rPr>
          <w:rFonts w:ascii="仿宋_GB2312" w:eastAsia="仿宋_GB2312" w:hAnsi="华文仿宋" w:cs="仿宋_GB2312" w:hint="eastAsia"/>
          <w:color w:val="000000"/>
          <w:sz w:val="32"/>
          <w:szCs w:val="32"/>
        </w:rPr>
        <w:t>〔</w:t>
      </w:r>
      <w:r w:rsidR="008B53AC" w:rsidRPr="00C55442">
        <w:rPr>
          <w:rFonts w:ascii="仿宋_GB2312" w:eastAsia="仿宋_GB2312" w:hAnsi="华文仿宋" w:cs="仿宋_GB2312"/>
          <w:color w:val="000000"/>
          <w:sz w:val="32"/>
          <w:szCs w:val="32"/>
        </w:rPr>
        <w:t>2015</w:t>
      </w:r>
      <w:r w:rsidR="008B53AC" w:rsidRPr="00C55442">
        <w:rPr>
          <w:rFonts w:ascii="仿宋_GB2312" w:eastAsia="仿宋_GB2312" w:hAnsi="华文仿宋" w:cs="仿宋_GB2312" w:hint="eastAsia"/>
          <w:color w:val="000000"/>
          <w:sz w:val="32"/>
          <w:szCs w:val="32"/>
        </w:rPr>
        <w:t>〕</w:t>
      </w:r>
      <w:r w:rsidR="008B53AC">
        <w:rPr>
          <w:rFonts w:ascii="仿宋_GB2312" w:eastAsia="仿宋_GB2312" w:hAnsi="华文仿宋" w:cs="仿宋_GB2312"/>
          <w:color w:val="000000"/>
          <w:sz w:val="32"/>
          <w:szCs w:val="32"/>
        </w:rPr>
        <w:t>786</w:t>
      </w:r>
      <w:r w:rsidR="008B53AC" w:rsidRPr="00C55442">
        <w:rPr>
          <w:rFonts w:ascii="仿宋_GB2312" w:eastAsia="仿宋_GB2312" w:hAnsi="华文仿宋" w:cs="仿宋_GB2312" w:hint="eastAsia"/>
          <w:color w:val="000000"/>
          <w:sz w:val="32"/>
          <w:szCs w:val="32"/>
        </w:rPr>
        <w:t>号</w:t>
      </w:r>
    </w:p>
    <w:p w:rsidR="008A3BF7" w:rsidRDefault="008A3BF7" w:rsidP="008A3BF7">
      <w:pPr>
        <w:rPr>
          <w:rFonts w:ascii="仿宋_GB2312" w:eastAsia="仿宋_GB2312" w:hAnsi="华文仿宋" w:hint="eastAsia"/>
          <w:color w:val="000000"/>
          <w:sz w:val="32"/>
          <w:szCs w:val="32"/>
        </w:rPr>
      </w:pPr>
    </w:p>
    <w:p w:rsidR="008B53AC" w:rsidRDefault="008B53AC" w:rsidP="008A3BF7">
      <w:pPr>
        <w:rPr>
          <w:rFonts w:ascii="仿宋_GB2312" w:eastAsia="仿宋_GB2312" w:hAnsi="华文仿宋" w:hint="eastAsia"/>
          <w:sz w:val="32"/>
          <w:szCs w:val="32"/>
        </w:rPr>
      </w:pPr>
    </w:p>
    <w:p w:rsidR="008A3BF7" w:rsidRDefault="008A3BF7" w:rsidP="008A3BF7">
      <w:pPr>
        <w:spacing w:line="540" w:lineRule="exact"/>
        <w:jc w:val="center"/>
        <w:rPr>
          <w:rFonts w:hint="eastAsia"/>
          <w:b/>
          <w:sz w:val="44"/>
          <w:szCs w:val="44"/>
        </w:rPr>
      </w:pPr>
      <w:r w:rsidRPr="001B7E10">
        <w:rPr>
          <w:rFonts w:cs="Arial"/>
          <w:b/>
          <w:sz w:val="44"/>
          <w:szCs w:val="44"/>
        </w:rPr>
        <w:t>上海市食品药品监督管理局关于</w:t>
      </w:r>
      <w:r w:rsidRPr="001B7E10">
        <w:rPr>
          <w:rFonts w:hint="eastAsia"/>
          <w:b/>
          <w:sz w:val="44"/>
          <w:szCs w:val="44"/>
        </w:rPr>
        <w:t>印发</w:t>
      </w:r>
    </w:p>
    <w:p w:rsidR="008A3BF7" w:rsidRPr="001B7E10" w:rsidRDefault="008A3BF7" w:rsidP="008A3BF7">
      <w:pPr>
        <w:spacing w:line="540" w:lineRule="exact"/>
        <w:jc w:val="center"/>
        <w:rPr>
          <w:rFonts w:hint="eastAsia"/>
          <w:b/>
          <w:sz w:val="44"/>
          <w:szCs w:val="44"/>
        </w:rPr>
      </w:pPr>
      <w:r w:rsidRPr="001B7E10">
        <w:rPr>
          <w:rFonts w:hint="eastAsia"/>
          <w:b/>
          <w:sz w:val="44"/>
          <w:szCs w:val="44"/>
        </w:rPr>
        <w:t>《上海市医疗器械经营质量管理规范实施细则评定内容及检查要点》的通知</w:t>
      </w:r>
    </w:p>
    <w:p w:rsidR="008A3BF7" w:rsidRDefault="008A3BF7" w:rsidP="008A3BF7">
      <w:pPr>
        <w:pStyle w:val="ac"/>
        <w:spacing w:before="0" w:beforeAutospacing="0" w:after="0" w:afterAutospacing="0" w:line="540" w:lineRule="exact"/>
        <w:jc w:val="center"/>
        <w:rPr>
          <w:rFonts w:ascii="黑体" w:eastAsia="黑体" w:hAnsi="黑体" w:cs="黑体" w:hint="eastAsia"/>
          <w:sz w:val="36"/>
          <w:szCs w:val="36"/>
        </w:rPr>
      </w:pPr>
    </w:p>
    <w:p w:rsidR="008A3BF7" w:rsidRPr="001B7E10" w:rsidRDefault="008A3BF7" w:rsidP="008A3BF7">
      <w:pPr>
        <w:spacing w:line="540" w:lineRule="exact"/>
        <w:rPr>
          <w:rFonts w:ascii="仿宋_GB2312" w:eastAsia="仿宋_GB2312" w:hAnsi="楷体" w:cs="仿宋_GB2312" w:hint="eastAsia"/>
          <w:sz w:val="32"/>
          <w:szCs w:val="32"/>
        </w:rPr>
      </w:pPr>
      <w:r w:rsidRPr="001B7E10">
        <w:rPr>
          <w:rFonts w:ascii="仿宋_GB2312" w:eastAsia="仿宋_GB2312" w:hAnsi="楷体" w:cs="仿宋_GB2312" w:hint="eastAsia"/>
          <w:sz w:val="32"/>
          <w:szCs w:val="32"/>
        </w:rPr>
        <w:t>各市场监管局：</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为强化医疗器械经营质量监督管理，规范和指导医疗器械经营质量管理规范现场检查工作，根据《医疗器械经营质量管理规范》(以下简称《总局规范》)、《医疗器械经营质量管理规范现场检查指导原则》（食药监械监[2015]239号）(以下简称《指导原则》)、《上海市医疗器械经营质量管理规范实施细则》（以下简称《实施细则》），结合本市实际情况组织制定《上海市医疗器械经营质量管理规范实施细则评定内容及检查要点》（以下简称《检查要点》），现予印发，请遵照执行。</w:t>
      </w:r>
    </w:p>
    <w:p w:rsidR="008A3BF7" w:rsidRPr="001B7E10" w:rsidRDefault="008A3BF7" w:rsidP="008A3BF7">
      <w:pPr>
        <w:spacing w:line="540" w:lineRule="exact"/>
        <w:ind w:firstLineChars="196" w:firstLine="627"/>
        <w:rPr>
          <w:rFonts w:ascii="黑体" w:eastAsia="黑体" w:hAnsi="楷体" w:hint="eastAsia"/>
          <w:sz w:val="32"/>
          <w:szCs w:val="32"/>
        </w:rPr>
      </w:pPr>
      <w:r w:rsidRPr="001B7E10">
        <w:rPr>
          <w:rFonts w:ascii="黑体" w:eastAsia="黑体" w:hAnsi="楷体" w:hint="eastAsia"/>
          <w:sz w:val="32"/>
          <w:szCs w:val="32"/>
        </w:rPr>
        <w:t>一、适用范围</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《检查要点》适用于食品药品监管部门对第三类医疗器械经营企业许可（含变更和延续）的现场核查，第二类医疗器械经营企业备案后的现场核查，以及医疗器械经营企业的各类监督检查。</w:t>
      </w:r>
    </w:p>
    <w:p w:rsidR="008A3BF7" w:rsidRPr="001B7E10" w:rsidRDefault="008A3BF7" w:rsidP="008A3BF7">
      <w:pPr>
        <w:spacing w:line="540" w:lineRule="exact"/>
        <w:ind w:firstLineChars="196" w:firstLine="627"/>
        <w:rPr>
          <w:rFonts w:ascii="黑体" w:eastAsia="黑体" w:hAnsi="楷体" w:hint="eastAsia"/>
          <w:sz w:val="32"/>
          <w:szCs w:val="32"/>
        </w:rPr>
      </w:pPr>
      <w:r w:rsidRPr="001B7E10">
        <w:rPr>
          <w:rFonts w:ascii="黑体" w:eastAsia="黑体" w:hAnsi="楷体" w:hint="eastAsia"/>
          <w:sz w:val="32"/>
          <w:szCs w:val="32"/>
        </w:rPr>
        <w:t>二、检查内容</w:t>
      </w:r>
    </w:p>
    <w:p w:rsidR="008A3BF7" w:rsidRPr="001B7E10" w:rsidRDefault="008A3BF7" w:rsidP="008A3BF7">
      <w:pPr>
        <w:snapToGrid w:val="0"/>
        <w:spacing w:line="540" w:lineRule="exact"/>
        <w:ind w:firstLineChars="200" w:firstLine="640"/>
        <w:jc w:val="left"/>
        <w:rPr>
          <w:rFonts w:ascii="仿宋_GB2312" w:eastAsia="仿宋_GB2312" w:hAnsi="楷体" w:hint="eastAsia"/>
          <w:sz w:val="32"/>
          <w:szCs w:val="32"/>
        </w:rPr>
      </w:pPr>
      <w:r w:rsidRPr="001B7E10">
        <w:rPr>
          <w:rFonts w:ascii="仿宋_GB2312" w:eastAsia="仿宋_GB2312" w:hAnsi="楷体" w:hint="eastAsia"/>
          <w:sz w:val="32"/>
          <w:szCs w:val="32"/>
        </w:rPr>
        <w:t>《检查要点》与《实施细则》相对应，设置编号依据《总局规范》、</w:t>
      </w:r>
      <w:r w:rsidRPr="001B7E10">
        <w:rPr>
          <w:rFonts w:ascii="仿宋_GB2312" w:eastAsia="仿宋_GB2312" w:hAnsi="楷体" w:hint="eastAsia"/>
          <w:sz w:val="32"/>
          <w:szCs w:val="32"/>
        </w:rPr>
        <w:lastRenderedPageBreak/>
        <w:t>《实施细则》的章、条、款设置，共六位数字，其中第一第二位为《总局规范》中章节编号，第三第四位为《总局规范》中条款编号，第五第六位为《实施细则》条款编号。《检查要点》检查项目共88项， 其中*为关键项，计31项，其它为一般项计57项，关键项检查内容与《指导原则》保持一致。</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现场检查时，应当按照《检查要点》中包含的检查项目和所对应的重点检查内容，对医疗器械经营企业实施《实施细则》情况进行检查。医疗器械经营企业可根据其经营方式、经营范围、经营品种等特点，确定合理缺项项目，并书面说明理由，由检查组予以确认。</w:t>
      </w:r>
    </w:p>
    <w:p w:rsidR="008A3BF7" w:rsidRPr="001B7E10" w:rsidRDefault="008A3BF7" w:rsidP="008A3BF7">
      <w:pPr>
        <w:spacing w:line="540" w:lineRule="exact"/>
        <w:ind w:firstLineChars="196" w:firstLine="627"/>
        <w:rPr>
          <w:rFonts w:ascii="黑体" w:eastAsia="黑体" w:hAnsi="楷体" w:hint="eastAsia"/>
          <w:sz w:val="32"/>
          <w:szCs w:val="32"/>
        </w:rPr>
      </w:pPr>
      <w:r w:rsidRPr="001B7E10">
        <w:rPr>
          <w:rFonts w:ascii="黑体" w:eastAsia="黑体" w:hAnsi="楷体" w:hint="eastAsia"/>
          <w:sz w:val="32"/>
          <w:szCs w:val="32"/>
        </w:rPr>
        <w:t>三、结果判定</w:t>
      </w:r>
    </w:p>
    <w:p w:rsidR="008A3BF7" w:rsidRPr="001B7E10" w:rsidRDefault="008A3BF7" w:rsidP="008A3BF7">
      <w:pPr>
        <w:spacing w:line="540" w:lineRule="exact"/>
        <w:ind w:firstLineChars="196" w:firstLine="627"/>
        <w:rPr>
          <w:rFonts w:ascii="宋体" w:hAnsi="宋体" w:hint="eastAsia"/>
          <w:sz w:val="32"/>
          <w:szCs w:val="32"/>
        </w:rPr>
      </w:pPr>
      <w:r w:rsidRPr="001B7E10">
        <w:rPr>
          <w:rFonts w:ascii="宋体" w:hAnsi="宋体" w:hint="eastAsia"/>
          <w:sz w:val="32"/>
          <w:szCs w:val="32"/>
        </w:rPr>
        <w:t>（一）行政许可</w:t>
      </w:r>
    </w:p>
    <w:p w:rsidR="008A3BF7" w:rsidRPr="001B7E10" w:rsidRDefault="008A3BF7" w:rsidP="008A3BF7">
      <w:pPr>
        <w:spacing w:line="540" w:lineRule="exact"/>
        <w:ind w:firstLineChars="196" w:firstLine="630"/>
        <w:rPr>
          <w:rFonts w:ascii="仿宋_GB2312" w:eastAsia="仿宋_GB2312" w:hAnsi="楷体" w:hint="eastAsia"/>
          <w:b/>
          <w:sz w:val="32"/>
          <w:szCs w:val="32"/>
        </w:rPr>
      </w:pPr>
      <w:r w:rsidRPr="001B7E10">
        <w:rPr>
          <w:rFonts w:ascii="仿宋_GB2312" w:eastAsia="仿宋_GB2312" w:hAnsi="楷体" w:hint="eastAsia"/>
          <w:b/>
          <w:sz w:val="32"/>
          <w:szCs w:val="32"/>
        </w:rPr>
        <w:t>1、通过检查</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在对第三类医疗器械经营企业许可（含变更和延续）的现场核查中，经营企业适用项目全部符合要求的为“通过检查”。</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关键项目全部符合要求，一般项目中不符合要求的项目数≤10%的为“限期整改”。企业应当在现场检查结束后30天内完成整改并向原审查部门一次性提交整改报告，经复查后，整改项目全部符合要求的为“通过检查”。</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食品药品监管部门根据审查情况，作出准予许可的书面决定。</w:t>
      </w:r>
    </w:p>
    <w:p w:rsidR="008A3BF7" w:rsidRPr="001B7E10" w:rsidRDefault="008A3BF7" w:rsidP="008A3BF7">
      <w:pPr>
        <w:spacing w:line="540" w:lineRule="exact"/>
        <w:ind w:firstLineChars="196" w:firstLine="630"/>
        <w:rPr>
          <w:rFonts w:ascii="仿宋_GB2312" w:eastAsia="仿宋_GB2312" w:hAnsi="楷体" w:hint="eastAsia"/>
          <w:b/>
          <w:sz w:val="32"/>
          <w:szCs w:val="32"/>
        </w:rPr>
      </w:pPr>
      <w:r w:rsidRPr="001B7E10">
        <w:rPr>
          <w:rFonts w:ascii="仿宋_GB2312" w:eastAsia="仿宋_GB2312" w:hAnsi="楷体" w:hint="eastAsia"/>
          <w:b/>
          <w:sz w:val="32"/>
          <w:szCs w:val="32"/>
        </w:rPr>
        <w:t>2、未通过检查</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有关键项目不符合要求或者一般项目中不符合要求的项目数＞10%的为“未通过检查”。</w:t>
      </w:r>
    </w:p>
    <w:p w:rsidR="008A3BF7" w:rsidRPr="001B7E10" w:rsidRDefault="008A3BF7" w:rsidP="008A3BF7">
      <w:pPr>
        <w:spacing w:line="540" w:lineRule="exact"/>
        <w:ind w:firstLine="555"/>
        <w:rPr>
          <w:rFonts w:ascii="仿宋_GB2312" w:eastAsia="仿宋_GB2312" w:hAnsi="楷体" w:hint="eastAsia"/>
          <w:sz w:val="32"/>
          <w:szCs w:val="32"/>
        </w:rPr>
      </w:pPr>
      <w:r w:rsidRPr="001B7E10">
        <w:rPr>
          <w:rFonts w:ascii="仿宋_GB2312" w:eastAsia="仿宋_GB2312" w:hAnsi="楷体" w:hint="eastAsia"/>
          <w:sz w:val="32"/>
          <w:szCs w:val="32"/>
        </w:rPr>
        <w:t>“限期整改”的企业在30天内未能提交整改报告或复查仍存在不符合要求项目的，为“未通过检查”</w:t>
      </w:r>
      <w:r>
        <w:rPr>
          <w:rFonts w:ascii="仿宋_GB2312" w:eastAsia="仿宋_GB2312" w:hAnsi="楷体" w:hint="eastAsia"/>
          <w:sz w:val="32"/>
          <w:szCs w:val="32"/>
        </w:rPr>
        <w:t>。</w:t>
      </w:r>
    </w:p>
    <w:p w:rsidR="008A3BF7" w:rsidRPr="001B7E10" w:rsidRDefault="008A3BF7" w:rsidP="008A3BF7">
      <w:pPr>
        <w:spacing w:line="540" w:lineRule="exact"/>
        <w:ind w:firstLine="570"/>
        <w:rPr>
          <w:rFonts w:ascii="仿宋_GB2312" w:eastAsia="仿宋_GB2312" w:hAnsi="楷体" w:hint="eastAsia"/>
          <w:sz w:val="32"/>
          <w:szCs w:val="32"/>
        </w:rPr>
      </w:pPr>
      <w:r w:rsidRPr="001B7E10">
        <w:rPr>
          <w:rFonts w:ascii="仿宋_GB2312" w:eastAsia="仿宋_GB2312" w:hAnsi="楷体" w:hint="eastAsia"/>
          <w:sz w:val="32"/>
          <w:szCs w:val="32"/>
        </w:rPr>
        <w:t>食品药品监管部门根据审查情况，作出不予许可的书面决定。</w:t>
      </w:r>
    </w:p>
    <w:p w:rsidR="008A3BF7" w:rsidRPr="001B7E10" w:rsidRDefault="008A3BF7" w:rsidP="008A3BF7">
      <w:pPr>
        <w:spacing w:line="540" w:lineRule="exact"/>
        <w:ind w:firstLineChars="196" w:firstLine="627"/>
        <w:rPr>
          <w:rFonts w:ascii="宋体" w:hAnsi="宋体" w:hint="eastAsia"/>
          <w:sz w:val="32"/>
          <w:szCs w:val="32"/>
        </w:rPr>
      </w:pPr>
      <w:r w:rsidRPr="001B7E10">
        <w:rPr>
          <w:rFonts w:ascii="宋体" w:hAnsi="宋体" w:hint="eastAsia"/>
          <w:sz w:val="32"/>
          <w:szCs w:val="32"/>
        </w:rPr>
        <w:lastRenderedPageBreak/>
        <w:t>（二）监督检查</w:t>
      </w:r>
    </w:p>
    <w:p w:rsidR="008A3BF7" w:rsidRPr="001B7E10" w:rsidRDefault="008A3BF7" w:rsidP="008A3BF7">
      <w:pPr>
        <w:spacing w:line="540" w:lineRule="exact"/>
        <w:ind w:firstLineChars="300" w:firstLine="960"/>
        <w:rPr>
          <w:rFonts w:ascii="仿宋_GB2312" w:eastAsia="仿宋_GB2312" w:hAnsi="楷体" w:hint="eastAsia"/>
          <w:sz w:val="32"/>
          <w:szCs w:val="32"/>
        </w:rPr>
      </w:pPr>
      <w:r w:rsidRPr="001B7E10">
        <w:rPr>
          <w:rFonts w:ascii="仿宋_GB2312" w:eastAsia="仿宋_GB2312" w:hAnsi="楷体" w:hint="eastAsia"/>
          <w:sz w:val="32"/>
          <w:szCs w:val="32"/>
        </w:rPr>
        <w:t>在对医疗器械经营企业的各类监督检查和第二类医疗器械经营企业备案后的现场核查中，经营企业适用项目全部符合要求的为“通过检查”；有项目不符合要求的为“限期整改”。</w:t>
      </w:r>
    </w:p>
    <w:p w:rsidR="008A3BF7" w:rsidRPr="001B7E10" w:rsidRDefault="008A3BF7" w:rsidP="008A3BF7">
      <w:pPr>
        <w:spacing w:line="540" w:lineRule="exact"/>
        <w:ind w:firstLineChars="200" w:firstLine="640"/>
        <w:rPr>
          <w:rFonts w:ascii="仿宋_GB2312" w:eastAsia="仿宋_GB2312" w:hAnsi="楷体" w:hint="eastAsia"/>
          <w:sz w:val="32"/>
          <w:szCs w:val="32"/>
        </w:rPr>
      </w:pPr>
      <w:r w:rsidRPr="001B7E10">
        <w:rPr>
          <w:rFonts w:ascii="仿宋_GB2312" w:eastAsia="仿宋_GB2312" w:hAnsi="楷体" w:hint="eastAsia"/>
          <w:sz w:val="32"/>
          <w:szCs w:val="32"/>
        </w:rPr>
        <w:t>检查中发现违反《医疗器械监督管理条例》和《医疗器械经营监督管理办法》有关规定的，应依法依规处理。</w:t>
      </w:r>
    </w:p>
    <w:p w:rsidR="008A3BF7" w:rsidRPr="001B7E10" w:rsidRDefault="008A3BF7" w:rsidP="008A3BF7">
      <w:pPr>
        <w:spacing w:line="540" w:lineRule="exact"/>
        <w:rPr>
          <w:rFonts w:ascii="仿宋_GB2312" w:eastAsia="仿宋_GB2312" w:hAnsi="楷体" w:hint="eastAsia"/>
          <w:sz w:val="32"/>
          <w:szCs w:val="32"/>
        </w:rPr>
      </w:pPr>
      <w:r w:rsidRPr="001B7E10">
        <w:rPr>
          <w:rFonts w:ascii="仿宋_GB2312" w:eastAsia="仿宋_GB2312" w:hAnsi="楷体" w:hint="eastAsia"/>
          <w:sz w:val="32"/>
          <w:szCs w:val="32"/>
        </w:rPr>
        <w:t xml:space="preserve">　　说明：本《指导原则》所指的一般项目中不符合要求的项目数比例=一般项目中不符合要求的项目数/(一般项目数总数－一般项目中确认的合理缺项项目数)X100%。</w:t>
      </w:r>
    </w:p>
    <w:p w:rsidR="008A3BF7" w:rsidRDefault="008A3BF7" w:rsidP="008A3BF7">
      <w:pPr>
        <w:spacing w:line="540" w:lineRule="exact"/>
        <w:ind w:firstLineChars="200" w:firstLine="640"/>
        <w:rPr>
          <w:rFonts w:ascii="仿宋_GB2312" w:eastAsia="仿宋_GB2312" w:hAnsi="楷体" w:hint="eastAsia"/>
          <w:sz w:val="32"/>
          <w:szCs w:val="32"/>
        </w:rPr>
      </w:pPr>
      <w:r w:rsidRPr="001B7E10">
        <w:rPr>
          <w:rFonts w:ascii="仿宋_GB2312" w:eastAsia="仿宋_GB2312" w:hAnsi="楷体" w:hint="eastAsia"/>
          <w:sz w:val="32"/>
          <w:szCs w:val="32"/>
        </w:rPr>
        <w:t>检查组检查结束后登录“上海市食品药品行政检查管理系统”填写统一格式的现场检查表。</w:t>
      </w:r>
    </w:p>
    <w:p w:rsidR="008A3BF7" w:rsidRPr="001B7E10" w:rsidRDefault="008A3BF7" w:rsidP="008A3BF7">
      <w:pPr>
        <w:spacing w:line="540" w:lineRule="exact"/>
        <w:ind w:firstLineChars="200" w:firstLine="640"/>
        <w:rPr>
          <w:rFonts w:ascii="仿宋_GB2312" w:eastAsia="仿宋_GB2312" w:hAnsi="楷体" w:hint="eastAsia"/>
          <w:sz w:val="32"/>
          <w:szCs w:val="32"/>
        </w:rPr>
      </w:pPr>
    </w:p>
    <w:p w:rsidR="008A3BF7" w:rsidRDefault="008A3BF7" w:rsidP="009A62D4">
      <w:pPr>
        <w:spacing w:line="540" w:lineRule="exact"/>
        <w:ind w:firstLineChars="200" w:firstLine="640"/>
        <w:rPr>
          <w:rFonts w:ascii="仿宋_GB2312" w:eastAsia="仿宋_GB2312" w:hAnsi="楷体"/>
          <w:sz w:val="32"/>
          <w:szCs w:val="32"/>
        </w:rPr>
      </w:pPr>
      <w:r w:rsidRPr="001B7E10">
        <w:rPr>
          <w:rFonts w:ascii="仿宋_GB2312" w:eastAsia="仿宋_GB2312" w:hAnsi="楷体" w:cs="仿宋_GB2312" w:hint="eastAsia"/>
          <w:sz w:val="32"/>
          <w:szCs w:val="32"/>
        </w:rPr>
        <w:t>附件：</w:t>
      </w:r>
      <w:r w:rsidRPr="001B7E10">
        <w:rPr>
          <w:rFonts w:ascii="仿宋_GB2312" w:eastAsia="仿宋_GB2312" w:hAnsi="楷体" w:hint="eastAsia"/>
          <w:sz w:val="32"/>
          <w:szCs w:val="32"/>
        </w:rPr>
        <w:t>上海市医疗器械经营质量管理规范实施细则评定内容及检查要点</w:t>
      </w:r>
      <w:r w:rsidR="00064DC3">
        <w:rPr>
          <w:rFonts w:ascii="仿宋_GB2312" w:eastAsia="仿宋_GB2312" w:hAnsi="楷体" w:hint="eastAsia"/>
          <w:sz w:val="32"/>
          <w:szCs w:val="32"/>
        </w:rPr>
        <w:t>（略）</w:t>
      </w:r>
    </w:p>
    <w:p w:rsidR="00064DC3" w:rsidRDefault="00064DC3" w:rsidP="009A62D4">
      <w:pPr>
        <w:spacing w:line="540" w:lineRule="exact"/>
        <w:ind w:firstLineChars="200" w:firstLine="640"/>
        <w:rPr>
          <w:rFonts w:ascii="仿宋_GB2312" w:eastAsia="仿宋_GB2312" w:hAnsi="楷体"/>
          <w:sz w:val="32"/>
          <w:szCs w:val="32"/>
        </w:rPr>
      </w:pPr>
    </w:p>
    <w:p w:rsidR="00064DC3" w:rsidRDefault="00064DC3" w:rsidP="009A62D4">
      <w:pPr>
        <w:spacing w:line="540" w:lineRule="exact"/>
        <w:ind w:firstLineChars="200" w:firstLine="640"/>
        <w:rPr>
          <w:rFonts w:ascii="仿宋_GB2312" w:eastAsia="仿宋_GB2312" w:hint="eastAsia"/>
          <w:color w:val="000000"/>
          <w:sz w:val="32"/>
          <w:szCs w:val="32"/>
        </w:rPr>
      </w:pPr>
    </w:p>
    <w:p w:rsidR="008A3BF7" w:rsidRPr="002338AD" w:rsidRDefault="008A3BF7" w:rsidP="008A3BF7">
      <w:pPr>
        <w:spacing w:line="540" w:lineRule="exact"/>
        <w:ind w:firstLineChars="1500" w:firstLine="4800"/>
        <w:rPr>
          <w:rFonts w:ascii="仿宋_GB2312" w:eastAsia="仿宋_GB2312" w:hint="eastAsia"/>
          <w:color w:val="000000"/>
          <w:sz w:val="32"/>
          <w:szCs w:val="32"/>
        </w:rPr>
      </w:pPr>
      <w:r w:rsidRPr="002338AD">
        <w:rPr>
          <w:rFonts w:ascii="仿宋_GB2312" w:eastAsia="仿宋_GB2312" w:hint="eastAsia"/>
          <w:color w:val="000000"/>
          <w:sz w:val="32"/>
          <w:szCs w:val="32"/>
        </w:rPr>
        <w:t>上海市食品药品监督管理局</w:t>
      </w:r>
    </w:p>
    <w:p w:rsidR="008A3BF7" w:rsidRDefault="008A3BF7" w:rsidP="008A3BF7">
      <w:pPr>
        <w:spacing w:line="540" w:lineRule="exact"/>
        <w:ind w:firstLineChars="1750" w:firstLine="5600"/>
        <w:rPr>
          <w:rFonts w:ascii="仿宋_GB2312" w:eastAsia="仿宋_GB2312"/>
          <w:color w:val="000000"/>
          <w:sz w:val="32"/>
          <w:szCs w:val="32"/>
        </w:rPr>
      </w:pPr>
      <w:smartTag w:uri="urn:schemas-microsoft-com:office:smarttags" w:element="chsdate">
        <w:smartTagPr>
          <w:attr w:name="IsROCDate" w:val="False"/>
          <w:attr w:name="IsLunarDate" w:val="False"/>
          <w:attr w:name="Day" w:val="15"/>
          <w:attr w:name="Month" w:val="12"/>
          <w:attr w:name="Year" w:val="2015"/>
        </w:smartTagPr>
        <w:r w:rsidRPr="002338AD">
          <w:rPr>
            <w:rFonts w:ascii="仿宋_GB2312" w:eastAsia="仿宋_GB2312" w:hint="eastAsia"/>
            <w:color w:val="000000"/>
            <w:sz w:val="32"/>
            <w:szCs w:val="32"/>
          </w:rPr>
          <w:t>2015年</w:t>
        </w:r>
        <w:r>
          <w:rPr>
            <w:rFonts w:ascii="仿宋_GB2312" w:eastAsia="仿宋_GB2312" w:hint="eastAsia"/>
            <w:color w:val="000000"/>
            <w:sz w:val="32"/>
            <w:szCs w:val="32"/>
          </w:rPr>
          <w:t>12</w:t>
        </w:r>
        <w:r w:rsidRPr="002338AD">
          <w:rPr>
            <w:rFonts w:ascii="仿宋_GB2312" w:eastAsia="仿宋_GB2312" w:hint="eastAsia"/>
            <w:color w:val="000000"/>
            <w:sz w:val="32"/>
            <w:szCs w:val="32"/>
          </w:rPr>
          <w:t>月</w:t>
        </w:r>
        <w:r>
          <w:rPr>
            <w:rFonts w:ascii="仿宋_GB2312" w:eastAsia="仿宋_GB2312" w:hint="eastAsia"/>
            <w:color w:val="000000"/>
            <w:sz w:val="32"/>
            <w:szCs w:val="32"/>
          </w:rPr>
          <w:t>15</w:t>
        </w:r>
        <w:r w:rsidRPr="002338AD">
          <w:rPr>
            <w:rFonts w:ascii="仿宋_GB2312" w:eastAsia="仿宋_GB2312" w:hint="eastAsia"/>
            <w:color w:val="000000"/>
            <w:sz w:val="32"/>
            <w:szCs w:val="32"/>
          </w:rPr>
          <w:t>日</w:t>
        </w:r>
      </w:smartTag>
      <w:r w:rsidRPr="003C7775">
        <w:rPr>
          <w:rFonts w:ascii="仿宋_GB2312" w:eastAsia="仿宋_GB2312" w:hint="eastAsia"/>
          <w:color w:val="000000"/>
          <w:sz w:val="32"/>
          <w:szCs w:val="32"/>
        </w:rPr>
        <w:t xml:space="preserve"> </w:t>
      </w:r>
    </w:p>
    <w:p w:rsidR="00064DC3" w:rsidRDefault="00064DC3" w:rsidP="008A3BF7">
      <w:pPr>
        <w:spacing w:line="540" w:lineRule="exact"/>
        <w:ind w:firstLineChars="1750" w:firstLine="5600"/>
        <w:rPr>
          <w:rFonts w:ascii="仿宋_GB2312" w:eastAsia="仿宋_GB2312"/>
          <w:color w:val="000000"/>
          <w:sz w:val="32"/>
          <w:szCs w:val="32"/>
        </w:rPr>
      </w:pPr>
    </w:p>
    <w:p w:rsidR="00064DC3" w:rsidRDefault="00064DC3" w:rsidP="008A3BF7">
      <w:pPr>
        <w:spacing w:line="540" w:lineRule="exact"/>
        <w:ind w:firstLineChars="1750" w:firstLine="5600"/>
        <w:rPr>
          <w:rFonts w:ascii="仿宋_GB2312" w:eastAsia="仿宋_GB2312" w:hint="eastAsia"/>
          <w:color w:val="000000"/>
          <w:sz w:val="32"/>
          <w:szCs w:val="32"/>
        </w:rPr>
      </w:pPr>
    </w:p>
    <w:p w:rsidR="008A3BF7" w:rsidRDefault="008A3BF7" w:rsidP="008A3BF7">
      <w:pPr>
        <w:pBdr>
          <w:bottom w:val="single" w:sz="6" w:space="1" w:color="auto"/>
        </w:pBdr>
        <w:spacing w:line="54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（公开属性：依申请</w:t>
      </w:r>
      <w:r w:rsidRPr="003C7775">
        <w:rPr>
          <w:rFonts w:ascii="仿宋_GB2312" w:eastAsia="仿宋_GB2312" w:hint="eastAsia"/>
          <w:color w:val="000000"/>
          <w:sz w:val="32"/>
          <w:szCs w:val="32"/>
        </w:rPr>
        <w:t>公开）</w:t>
      </w:r>
    </w:p>
    <w:p w:rsidR="009A62D4" w:rsidRDefault="009A62D4" w:rsidP="008A3BF7">
      <w:pPr>
        <w:pBdr>
          <w:bottom w:val="single" w:sz="6" w:space="1" w:color="auto"/>
        </w:pBdr>
        <w:spacing w:line="540" w:lineRule="exact"/>
        <w:ind w:firstLineChars="200" w:firstLine="640"/>
        <w:rPr>
          <w:rFonts w:ascii="仿宋_GB2312" w:eastAsia="仿宋_GB2312" w:hint="eastAsia"/>
          <w:color w:val="000000"/>
          <w:sz w:val="32"/>
          <w:szCs w:val="32"/>
        </w:rPr>
      </w:pPr>
    </w:p>
    <w:p w:rsidR="009A62D4" w:rsidRPr="00FA64FE" w:rsidRDefault="009A62D4" w:rsidP="009A62D4">
      <w:pPr>
        <w:pBdr>
          <w:bottom w:val="single" w:sz="6" w:space="2" w:color="auto"/>
          <w:between w:val="single" w:sz="6" w:space="1" w:color="auto"/>
        </w:pBdr>
        <w:adjustRightInd w:val="0"/>
        <w:snapToGrid w:val="0"/>
        <w:spacing w:line="360" w:lineRule="exact"/>
        <w:ind w:left="700" w:hangingChars="250" w:hanging="700"/>
        <w:rPr>
          <w:rFonts w:ascii="仿宋_GB2312" w:eastAsia="仿宋_GB2312" w:hint="eastAsia"/>
          <w:sz w:val="28"/>
          <w:szCs w:val="28"/>
        </w:rPr>
      </w:pPr>
      <w:r w:rsidRPr="00813400">
        <w:rPr>
          <w:rFonts w:ascii="仿宋_GB2312" w:eastAsia="仿宋_GB2312" w:hint="eastAsia"/>
          <w:bCs/>
          <w:color w:val="000000"/>
          <w:sz w:val="28"/>
          <w:szCs w:val="28"/>
        </w:rPr>
        <w:t>抄送：</w:t>
      </w:r>
      <w:r>
        <w:rPr>
          <w:rFonts w:ascii="仿宋_GB2312" w:eastAsia="仿宋_GB2312" w:hint="eastAsia"/>
          <w:sz w:val="28"/>
          <w:szCs w:val="28"/>
        </w:rPr>
        <w:t>市局执法总队、上海医疗器械行业协会、上海市眼镜行业协会</w:t>
      </w:r>
      <w:r w:rsidRPr="00813400">
        <w:rPr>
          <w:rFonts w:ascii="仿宋_GB2312" w:eastAsia="仿宋_GB2312" w:hAnsi="仿宋" w:hint="eastAsia"/>
          <w:color w:val="000000"/>
          <w:sz w:val="28"/>
          <w:szCs w:val="28"/>
        </w:rPr>
        <w:t>。</w:t>
      </w:r>
    </w:p>
    <w:p w:rsidR="009A62D4" w:rsidRPr="00C55442" w:rsidRDefault="009A62D4" w:rsidP="009A62D4">
      <w:pPr>
        <w:pBdr>
          <w:bottom w:val="single" w:sz="6" w:space="2" w:color="auto"/>
          <w:between w:val="single" w:sz="6" w:space="1" w:color="auto"/>
        </w:pBdr>
        <w:spacing w:line="360" w:lineRule="exact"/>
        <w:jc w:val="left"/>
        <w:rPr>
          <w:rFonts w:ascii="仿宋_GB2312" w:eastAsia="仿宋_GB2312" w:hint="eastAsia"/>
          <w:bCs/>
          <w:color w:val="000000"/>
          <w:sz w:val="28"/>
          <w:szCs w:val="28"/>
        </w:rPr>
      </w:pPr>
      <w:r w:rsidRPr="00C55442">
        <w:rPr>
          <w:rFonts w:ascii="仿宋_GB2312" w:eastAsia="仿宋_GB2312" w:hint="eastAsia"/>
          <w:color w:val="000000"/>
          <w:sz w:val="28"/>
          <w:szCs w:val="28"/>
        </w:rPr>
        <w:t>上海市食品药品监督管理局办公室</w:t>
      </w:r>
      <w:r w:rsidRPr="00C55442">
        <w:rPr>
          <w:rFonts w:ascii="仿宋_GB2312" w:eastAsia="仿宋_GB2312" w:hint="eastAsia"/>
          <w:bCs/>
          <w:color w:val="000000"/>
          <w:sz w:val="28"/>
          <w:szCs w:val="28"/>
        </w:rPr>
        <w:t xml:space="preserve">             </w:t>
      </w:r>
      <w:smartTag w:uri="urn:schemas-microsoft-com:office:smarttags" w:element="chsdate">
        <w:smartTagPr>
          <w:attr w:name="Year" w:val="2015"/>
          <w:attr w:name="Month" w:val="12"/>
          <w:attr w:name="Day" w:val="16"/>
          <w:attr w:name="IsLunarDate" w:val="False"/>
          <w:attr w:name="IsROCDate" w:val="False"/>
        </w:smartTagPr>
        <w:r w:rsidRPr="00C55442">
          <w:rPr>
            <w:rFonts w:ascii="仿宋_GB2312" w:eastAsia="仿宋_GB2312" w:hint="eastAsia"/>
            <w:bCs/>
            <w:color w:val="000000"/>
            <w:sz w:val="28"/>
            <w:szCs w:val="28"/>
          </w:rPr>
          <w:t>2015年</w:t>
        </w:r>
        <w:r>
          <w:rPr>
            <w:rFonts w:ascii="仿宋_GB2312" w:eastAsia="仿宋_GB2312" w:hint="eastAsia"/>
            <w:bCs/>
            <w:color w:val="000000"/>
            <w:sz w:val="28"/>
            <w:szCs w:val="28"/>
          </w:rPr>
          <w:t>12</w:t>
        </w:r>
        <w:r w:rsidRPr="00C55442">
          <w:rPr>
            <w:rFonts w:ascii="仿宋_GB2312" w:eastAsia="仿宋_GB2312" w:hint="eastAsia"/>
            <w:bCs/>
            <w:color w:val="000000"/>
            <w:sz w:val="28"/>
            <w:szCs w:val="28"/>
          </w:rPr>
          <w:t>月</w:t>
        </w:r>
        <w:r>
          <w:rPr>
            <w:rFonts w:ascii="仿宋_GB2312" w:eastAsia="仿宋_GB2312" w:hint="eastAsia"/>
            <w:bCs/>
            <w:color w:val="000000"/>
            <w:sz w:val="28"/>
            <w:szCs w:val="28"/>
          </w:rPr>
          <w:t>16</w:t>
        </w:r>
        <w:r w:rsidRPr="00C55442">
          <w:rPr>
            <w:rFonts w:ascii="仿宋_GB2312" w:eastAsia="仿宋_GB2312" w:hint="eastAsia"/>
            <w:bCs/>
            <w:color w:val="000000"/>
            <w:sz w:val="28"/>
            <w:szCs w:val="28"/>
          </w:rPr>
          <w:t>日</w:t>
        </w:r>
      </w:smartTag>
      <w:r w:rsidRPr="00C55442">
        <w:rPr>
          <w:rFonts w:ascii="仿宋_GB2312" w:eastAsia="仿宋_GB2312" w:hint="eastAsia"/>
          <w:bCs/>
          <w:color w:val="000000"/>
          <w:sz w:val="28"/>
          <w:szCs w:val="28"/>
        </w:rPr>
        <w:t xml:space="preserve">印发  </w:t>
      </w:r>
    </w:p>
    <w:p w:rsidR="009D5E0F" w:rsidRDefault="009A62D4" w:rsidP="009A62D4">
      <w:pPr>
        <w:spacing w:line="360" w:lineRule="exact"/>
        <w:jc w:val="right"/>
        <w:rPr>
          <w:rFonts w:ascii="仿宋_GB2312" w:eastAsia="仿宋_GB2312"/>
          <w:color w:val="000000"/>
          <w:sz w:val="28"/>
          <w:szCs w:val="28"/>
        </w:rPr>
      </w:pPr>
      <w:r w:rsidRPr="00C55442">
        <w:rPr>
          <w:color w:val="000000"/>
          <w:sz w:val="28"/>
          <w:szCs w:val="28"/>
        </w:rPr>
        <w:t xml:space="preserve">                   </w:t>
      </w:r>
      <w:r w:rsidRPr="00C55442">
        <w:rPr>
          <w:rFonts w:ascii="仿宋_GB2312" w:eastAsia="仿宋_GB2312" w:hint="eastAsia"/>
          <w:color w:val="000000"/>
          <w:sz w:val="28"/>
          <w:szCs w:val="28"/>
        </w:rPr>
        <w:t>（共印</w:t>
      </w:r>
      <w:r>
        <w:rPr>
          <w:rFonts w:ascii="仿宋_GB2312" w:eastAsia="仿宋_GB2312" w:hint="eastAsia"/>
          <w:color w:val="000000"/>
          <w:sz w:val="28"/>
          <w:szCs w:val="28"/>
        </w:rPr>
        <w:t>25</w:t>
      </w:r>
      <w:r w:rsidRPr="00C55442">
        <w:rPr>
          <w:rFonts w:ascii="仿宋_GB2312" w:eastAsia="仿宋_GB2312" w:hint="eastAsia"/>
          <w:color w:val="000000"/>
          <w:sz w:val="28"/>
          <w:szCs w:val="28"/>
        </w:rPr>
        <w:t>份）</w:t>
      </w:r>
    </w:p>
    <w:p w:rsidR="00867543" w:rsidRPr="009D5E0F" w:rsidRDefault="00867543" w:rsidP="00064DC3">
      <w:pPr>
        <w:spacing w:line="360" w:lineRule="exact"/>
        <w:jc w:val="left"/>
        <w:rPr>
          <w:rFonts w:hint="eastAsia"/>
          <w:szCs w:val="24"/>
        </w:rPr>
      </w:pPr>
    </w:p>
    <w:sectPr w:rsidR="00867543" w:rsidRPr="009D5E0F" w:rsidSect="00064DC3">
      <w:footerReference w:type="default" r:id="rId7"/>
      <w:pgSz w:w="11906" w:h="16838"/>
      <w:pgMar w:top="1440" w:right="1080" w:bottom="1440" w:left="1080" w:header="567" w:footer="22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26A" w:rsidRDefault="0026526A">
      <w:r>
        <w:separator/>
      </w:r>
    </w:p>
  </w:endnote>
  <w:endnote w:type="continuationSeparator" w:id="0">
    <w:p w:rsidR="0026526A" w:rsidRDefault="0026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
    <w:altName w:val="Times New Roman"/>
    <w:panose1 w:val="00000000000000000000"/>
    <w:charset w:val="00"/>
    <w:family w:val="roman"/>
    <w:notTrueType/>
    <w:pitch w:val="default"/>
  </w:font>
  <w:font w:name="华文仿宋">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2FB" w:rsidRDefault="009442FB" w:rsidP="009442F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90139">
      <w:rPr>
        <w:b/>
        <w:bCs/>
        <w:noProof/>
      </w:rPr>
      <w:t>- 1 -</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26A" w:rsidRDefault="0026526A">
      <w:r>
        <w:separator/>
      </w:r>
    </w:p>
  </w:footnote>
  <w:footnote w:type="continuationSeparator" w:id="0">
    <w:p w:rsidR="0026526A" w:rsidRDefault="0026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C89"/>
    <w:multiLevelType w:val="hybridMultilevel"/>
    <w:tmpl w:val="3BA0EF34"/>
    <w:lvl w:ilvl="0" w:tplc="B37E5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2570A"/>
    <w:multiLevelType w:val="hybridMultilevel"/>
    <w:tmpl w:val="D1A8D560"/>
    <w:lvl w:ilvl="0" w:tplc="A3687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A76D8"/>
    <w:multiLevelType w:val="hybridMultilevel"/>
    <w:tmpl w:val="AA144F2A"/>
    <w:lvl w:ilvl="0" w:tplc="7D2EC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33E76"/>
    <w:multiLevelType w:val="hybridMultilevel"/>
    <w:tmpl w:val="7994BBE8"/>
    <w:lvl w:ilvl="0" w:tplc="55C83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D5258"/>
    <w:multiLevelType w:val="hybridMultilevel"/>
    <w:tmpl w:val="7A92D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AD6664"/>
    <w:multiLevelType w:val="hybridMultilevel"/>
    <w:tmpl w:val="CDBA0670"/>
    <w:lvl w:ilvl="0" w:tplc="ABA6B1EC">
      <w:start w:val="1"/>
      <w:numFmt w:val="japaneseCounting"/>
      <w:lvlText w:val="第%1章"/>
      <w:lvlJc w:val="left"/>
      <w:pPr>
        <w:ind w:left="900" w:hanging="900"/>
      </w:pPr>
      <w:rPr>
        <w:rFonts w:hint="default"/>
      </w:rPr>
    </w:lvl>
    <w:lvl w:ilvl="1" w:tplc="700629A8">
      <w:start w:val="1"/>
      <w:numFmt w:val="decimal"/>
      <w:lvlText w:val="%2、"/>
      <w:lvlJc w:val="left"/>
      <w:pPr>
        <w:ind w:left="780" w:hanging="360"/>
      </w:pPr>
      <w:rPr>
        <w:rFonts w:ascii="黑体" w:eastAsia="黑体" w:hAnsi="黑体"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B1896"/>
    <w:multiLevelType w:val="hybridMultilevel"/>
    <w:tmpl w:val="9F3ADC6A"/>
    <w:lvl w:ilvl="0" w:tplc="44443C2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772982"/>
    <w:multiLevelType w:val="hybridMultilevel"/>
    <w:tmpl w:val="23C45EEA"/>
    <w:lvl w:ilvl="0" w:tplc="95905096">
      <w:start w:val="1"/>
      <w:numFmt w:val="japaneseCounting"/>
      <w:lvlText w:val="第%1章"/>
      <w:lvlJc w:val="left"/>
      <w:pPr>
        <w:ind w:left="1035" w:hanging="10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433EA"/>
    <w:multiLevelType w:val="hybridMultilevel"/>
    <w:tmpl w:val="2B909F76"/>
    <w:lvl w:ilvl="0" w:tplc="D4320CB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537F5A"/>
    <w:multiLevelType w:val="hybridMultilevel"/>
    <w:tmpl w:val="AF5C0C34"/>
    <w:lvl w:ilvl="0" w:tplc="2F205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6476B3"/>
    <w:multiLevelType w:val="hybridMultilevel"/>
    <w:tmpl w:val="142E7BC8"/>
    <w:lvl w:ilvl="0" w:tplc="04D231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DF6616"/>
    <w:multiLevelType w:val="hybridMultilevel"/>
    <w:tmpl w:val="5D24BCC6"/>
    <w:lvl w:ilvl="0" w:tplc="6E5AE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807E4C"/>
    <w:multiLevelType w:val="hybridMultilevel"/>
    <w:tmpl w:val="7434680A"/>
    <w:lvl w:ilvl="0" w:tplc="E5CE9682">
      <w:start w:val="1"/>
      <w:numFmt w:val="decimal"/>
      <w:lvlText w:val="%1、"/>
      <w:lvlJc w:val="left"/>
      <w:pPr>
        <w:ind w:left="360" w:hanging="360"/>
      </w:pPr>
      <w:rPr>
        <w:rFonts w:ascii="楷体" w:eastAsia="楷体" w:hAnsi="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AF27C3"/>
    <w:multiLevelType w:val="hybridMultilevel"/>
    <w:tmpl w:val="88E66598"/>
    <w:lvl w:ilvl="0" w:tplc="04090001">
      <w:start w:val="1"/>
      <w:numFmt w:val="bullet"/>
      <w:lvlText w:val=""/>
      <w:lvlJc w:val="left"/>
      <w:pPr>
        <w:ind w:left="900" w:hanging="90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0C60A0"/>
    <w:multiLevelType w:val="hybridMultilevel"/>
    <w:tmpl w:val="DA48A628"/>
    <w:lvl w:ilvl="0" w:tplc="52F63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081124"/>
    <w:multiLevelType w:val="hybridMultilevel"/>
    <w:tmpl w:val="89A88F2A"/>
    <w:lvl w:ilvl="0" w:tplc="B896F910">
      <w:start w:val="1"/>
      <w:numFmt w:val="decimal"/>
      <w:lvlText w:val="%1、"/>
      <w:lvlJc w:val="left"/>
      <w:pPr>
        <w:ind w:left="360" w:hanging="360"/>
      </w:pPr>
      <w:rPr>
        <w:rFonts w:ascii="楷体" w:eastAsia="楷体" w:hAnsi="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46641F"/>
    <w:multiLevelType w:val="hybridMultilevel"/>
    <w:tmpl w:val="2EFAA790"/>
    <w:lvl w:ilvl="0" w:tplc="F4E464BE">
      <w:start w:val="1"/>
      <w:numFmt w:val="decimal"/>
      <w:lvlText w:val="%1、"/>
      <w:lvlJc w:val="left"/>
      <w:pPr>
        <w:ind w:left="360" w:hanging="360"/>
      </w:pPr>
      <w:rPr>
        <w:rFonts w:cs="宋体" w:hint="default"/>
        <w:b/>
        <w:color w:val="215868"/>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13"/>
  </w:num>
  <w:num w:numId="4">
    <w:abstractNumId w:val="3"/>
  </w:num>
  <w:num w:numId="5">
    <w:abstractNumId w:val="5"/>
  </w:num>
  <w:num w:numId="6">
    <w:abstractNumId w:val="7"/>
  </w:num>
  <w:num w:numId="7">
    <w:abstractNumId w:val="14"/>
  </w:num>
  <w:num w:numId="8">
    <w:abstractNumId w:val="6"/>
  </w:num>
  <w:num w:numId="9">
    <w:abstractNumId w:val="8"/>
  </w:num>
  <w:num w:numId="10">
    <w:abstractNumId w:val="0"/>
  </w:num>
  <w:num w:numId="11">
    <w:abstractNumId w:val="12"/>
  </w:num>
  <w:num w:numId="12">
    <w:abstractNumId w:val="15"/>
  </w:num>
  <w:num w:numId="13">
    <w:abstractNumId w:val="1"/>
  </w:num>
  <w:num w:numId="14">
    <w:abstractNumId w:val="11"/>
  </w:num>
  <w:num w:numId="15">
    <w:abstractNumId w:val="2"/>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990430"/>
    <w:rsid w:val="000002D7"/>
    <w:rsid w:val="00002402"/>
    <w:rsid w:val="000131BC"/>
    <w:rsid w:val="000134B7"/>
    <w:rsid w:val="00013984"/>
    <w:rsid w:val="000438CE"/>
    <w:rsid w:val="00050DDF"/>
    <w:rsid w:val="00053924"/>
    <w:rsid w:val="00055A96"/>
    <w:rsid w:val="00064DC3"/>
    <w:rsid w:val="00065E4C"/>
    <w:rsid w:val="00066DFE"/>
    <w:rsid w:val="00073B43"/>
    <w:rsid w:val="000803CF"/>
    <w:rsid w:val="00081A36"/>
    <w:rsid w:val="000946DC"/>
    <w:rsid w:val="000B26E2"/>
    <w:rsid w:val="000D1007"/>
    <w:rsid w:val="000E3358"/>
    <w:rsid w:val="000F45A9"/>
    <w:rsid w:val="00112B6C"/>
    <w:rsid w:val="001234B8"/>
    <w:rsid w:val="001265DD"/>
    <w:rsid w:val="00127684"/>
    <w:rsid w:val="00131327"/>
    <w:rsid w:val="00135F42"/>
    <w:rsid w:val="00136A61"/>
    <w:rsid w:val="00170F22"/>
    <w:rsid w:val="0017595A"/>
    <w:rsid w:val="00175FF3"/>
    <w:rsid w:val="00177B61"/>
    <w:rsid w:val="00190636"/>
    <w:rsid w:val="001A03B4"/>
    <w:rsid w:val="001D3DDA"/>
    <w:rsid w:val="001F5032"/>
    <w:rsid w:val="0020301E"/>
    <w:rsid w:val="002220CB"/>
    <w:rsid w:val="00224FF3"/>
    <w:rsid w:val="002301F2"/>
    <w:rsid w:val="00233B46"/>
    <w:rsid w:val="002374AB"/>
    <w:rsid w:val="0024218F"/>
    <w:rsid w:val="0026526A"/>
    <w:rsid w:val="002664FE"/>
    <w:rsid w:val="002822AA"/>
    <w:rsid w:val="00285585"/>
    <w:rsid w:val="002A0BFA"/>
    <w:rsid w:val="002B709B"/>
    <w:rsid w:val="002C0F72"/>
    <w:rsid w:val="002D16C3"/>
    <w:rsid w:val="002D624C"/>
    <w:rsid w:val="0030051E"/>
    <w:rsid w:val="00306CD5"/>
    <w:rsid w:val="00326D57"/>
    <w:rsid w:val="0033144E"/>
    <w:rsid w:val="00334FFC"/>
    <w:rsid w:val="003820AC"/>
    <w:rsid w:val="00390B1B"/>
    <w:rsid w:val="00392655"/>
    <w:rsid w:val="003B3025"/>
    <w:rsid w:val="003B5DD5"/>
    <w:rsid w:val="003B6EDA"/>
    <w:rsid w:val="003C1A28"/>
    <w:rsid w:val="003E328E"/>
    <w:rsid w:val="003E4A56"/>
    <w:rsid w:val="003E742C"/>
    <w:rsid w:val="003E79D9"/>
    <w:rsid w:val="00405A9B"/>
    <w:rsid w:val="00444E76"/>
    <w:rsid w:val="004502AE"/>
    <w:rsid w:val="00454208"/>
    <w:rsid w:val="00460A7D"/>
    <w:rsid w:val="00461B46"/>
    <w:rsid w:val="00475E33"/>
    <w:rsid w:val="00477D2B"/>
    <w:rsid w:val="004B3D6B"/>
    <w:rsid w:val="004C3AB6"/>
    <w:rsid w:val="004C5AFE"/>
    <w:rsid w:val="004C6C8A"/>
    <w:rsid w:val="004D3A24"/>
    <w:rsid w:val="004E0DF8"/>
    <w:rsid w:val="004F0B0C"/>
    <w:rsid w:val="004F6252"/>
    <w:rsid w:val="00505166"/>
    <w:rsid w:val="00507075"/>
    <w:rsid w:val="00514DC0"/>
    <w:rsid w:val="00515162"/>
    <w:rsid w:val="00530835"/>
    <w:rsid w:val="00531E6C"/>
    <w:rsid w:val="0053359F"/>
    <w:rsid w:val="005373AF"/>
    <w:rsid w:val="00552B6E"/>
    <w:rsid w:val="00571871"/>
    <w:rsid w:val="005816D8"/>
    <w:rsid w:val="005831E3"/>
    <w:rsid w:val="00595E21"/>
    <w:rsid w:val="005A2C6C"/>
    <w:rsid w:val="005A51BB"/>
    <w:rsid w:val="005D2A65"/>
    <w:rsid w:val="005F0BEA"/>
    <w:rsid w:val="005F1CFE"/>
    <w:rsid w:val="00616FBB"/>
    <w:rsid w:val="006229DA"/>
    <w:rsid w:val="00631F25"/>
    <w:rsid w:val="00634303"/>
    <w:rsid w:val="00664E80"/>
    <w:rsid w:val="006667D2"/>
    <w:rsid w:val="0067416D"/>
    <w:rsid w:val="00676210"/>
    <w:rsid w:val="006B4483"/>
    <w:rsid w:val="006B7870"/>
    <w:rsid w:val="006C3076"/>
    <w:rsid w:val="006C3B95"/>
    <w:rsid w:val="006D69DB"/>
    <w:rsid w:val="006E4B82"/>
    <w:rsid w:val="006F4131"/>
    <w:rsid w:val="0070193C"/>
    <w:rsid w:val="00705747"/>
    <w:rsid w:val="0073296E"/>
    <w:rsid w:val="00735931"/>
    <w:rsid w:val="0074343C"/>
    <w:rsid w:val="00756C3A"/>
    <w:rsid w:val="00756EF5"/>
    <w:rsid w:val="0076242E"/>
    <w:rsid w:val="00775184"/>
    <w:rsid w:val="00782194"/>
    <w:rsid w:val="007A7EC0"/>
    <w:rsid w:val="007C65C8"/>
    <w:rsid w:val="007D71FD"/>
    <w:rsid w:val="0080469C"/>
    <w:rsid w:val="008204DF"/>
    <w:rsid w:val="00832CEF"/>
    <w:rsid w:val="00836300"/>
    <w:rsid w:val="008401DA"/>
    <w:rsid w:val="0084468C"/>
    <w:rsid w:val="00854E54"/>
    <w:rsid w:val="00867543"/>
    <w:rsid w:val="008A24A8"/>
    <w:rsid w:val="008A3BF7"/>
    <w:rsid w:val="008A6AF4"/>
    <w:rsid w:val="008B53AC"/>
    <w:rsid w:val="008D726E"/>
    <w:rsid w:val="008E7FDF"/>
    <w:rsid w:val="008F1EA2"/>
    <w:rsid w:val="0090330D"/>
    <w:rsid w:val="0091106D"/>
    <w:rsid w:val="00916E3B"/>
    <w:rsid w:val="00920D2C"/>
    <w:rsid w:val="00921435"/>
    <w:rsid w:val="00922982"/>
    <w:rsid w:val="00935B94"/>
    <w:rsid w:val="009442FB"/>
    <w:rsid w:val="00963999"/>
    <w:rsid w:val="00974437"/>
    <w:rsid w:val="00976B9D"/>
    <w:rsid w:val="00984B78"/>
    <w:rsid w:val="009854C1"/>
    <w:rsid w:val="009870A5"/>
    <w:rsid w:val="00990375"/>
    <w:rsid w:val="009953F0"/>
    <w:rsid w:val="009A59D8"/>
    <w:rsid w:val="009A62D4"/>
    <w:rsid w:val="009A7283"/>
    <w:rsid w:val="009B67CB"/>
    <w:rsid w:val="009C5E10"/>
    <w:rsid w:val="009D153A"/>
    <w:rsid w:val="009D5E0F"/>
    <w:rsid w:val="009F399E"/>
    <w:rsid w:val="00A14B2D"/>
    <w:rsid w:val="00A14DC7"/>
    <w:rsid w:val="00A261EE"/>
    <w:rsid w:val="00A36BEA"/>
    <w:rsid w:val="00A41D65"/>
    <w:rsid w:val="00A476FA"/>
    <w:rsid w:val="00A5582C"/>
    <w:rsid w:val="00A6586D"/>
    <w:rsid w:val="00A73D27"/>
    <w:rsid w:val="00A75747"/>
    <w:rsid w:val="00A9346E"/>
    <w:rsid w:val="00A95EBA"/>
    <w:rsid w:val="00AA1A28"/>
    <w:rsid w:val="00AD2C4B"/>
    <w:rsid w:val="00AE723B"/>
    <w:rsid w:val="00AF1BD1"/>
    <w:rsid w:val="00AF5B03"/>
    <w:rsid w:val="00AF6C79"/>
    <w:rsid w:val="00B15331"/>
    <w:rsid w:val="00B26B18"/>
    <w:rsid w:val="00B271DE"/>
    <w:rsid w:val="00B35835"/>
    <w:rsid w:val="00B462A0"/>
    <w:rsid w:val="00B55669"/>
    <w:rsid w:val="00B65475"/>
    <w:rsid w:val="00B669A7"/>
    <w:rsid w:val="00B674D1"/>
    <w:rsid w:val="00B7393B"/>
    <w:rsid w:val="00B77B96"/>
    <w:rsid w:val="00B86A9C"/>
    <w:rsid w:val="00B90079"/>
    <w:rsid w:val="00B96C91"/>
    <w:rsid w:val="00BB1879"/>
    <w:rsid w:val="00BC28B2"/>
    <w:rsid w:val="00BD279F"/>
    <w:rsid w:val="00BE01CE"/>
    <w:rsid w:val="00BE4C59"/>
    <w:rsid w:val="00BE6889"/>
    <w:rsid w:val="00C1086E"/>
    <w:rsid w:val="00C121DE"/>
    <w:rsid w:val="00C22EC9"/>
    <w:rsid w:val="00C23009"/>
    <w:rsid w:val="00C24029"/>
    <w:rsid w:val="00C30118"/>
    <w:rsid w:val="00C314F0"/>
    <w:rsid w:val="00C56B0D"/>
    <w:rsid w:val="00C70BC3"/>
    <w:rsid w:val="00C90139"/>
    <w:rsid w:val="00CA0ABE"/>
    <w:rsid w:val="00CA602D"/>
    <w:rsid w:val="00CA6721"/>
    <w:rsid w:val="00CC1DF4"/>
    <w:rsid w:val="00CE6D5C"/>
    <w:rsid w:val="00CF22A3"/>
    <w:rsid w:val="00CF7D0C"/>
    <w:rsid w:val="00D06C1E"/>
    <w:rsid w:val="00D103FF"/>
    <w:rsid w:val="00D13C3B"/>
    <w:rsid w:val="00D142EE"/>
    <w:rsid w:val="00D21F0C"/>
    <w:rsid w:val="00D25F07"/>
    <w:rsid w:val="00D3185C"/>
    <w:rsid w:val="00D417D6"/>
    <w:rsid w:val="00D4250C"/>
    <w:rsid w:val="00D4653A"/>
    <w:rsid w:val="00D70CF8"/>
    <w:rsid w:val="00D7116D"/>
    <w:rsid w:val="00D97E08"/>
    <w:rsid w:val="00DA458D"/>
    <w:rsid w:val="00DD2581"/>
    <w:rsid w:val="00DE103E"/>
    <w:rsid w:val="00DF54D0"/>
    <w:rsid w:val="00E00A51"/>
    <w:rsid w:val="00E01256"/>
    <w:rsid w:val="00E175F3"/>
    <w:rsid w:val="00E2505E"/>
    <w:rsid w:val="00E27636"/>
    <w:rsid w:val="00E35C9C"/>
    <w:rsid w:val="00E4472A"/>
    <w:rsid w:val="00E63822"/>
    <w:rsid w:val="00E66765"/>
    <w:rsid w:val="00E70FC3"/>
    <w:rsid w:val="00E7325F"/>
    <w:rsid w:val="00E75298"/>
    <w:rsid w:val="00E84C2A"/>
    <w:rsid w:val="00EB0784"/>
    <w:rsid w:val="00EB5B41"/>
    <w:rsid w:val="00ED1DB3"/>
    <w:rsid w:val="00EF04CC"/>
    <w:rsid w:val="00EF11DE"/>
    <w:rsid w:val="00F06133"/>
    <w:rsid w:val="00F0637A"/>
    <w:rsid w:val="00F10CB5"/>
    <w:rsid w:val="00F15475"/>
    <w:rsid w:val="00F2150F"/>
    <w:rsid w:val="00F34F43"/>
    <w:rsid w:val="00F4065E"/>
    <w:rsid w:val="00F54245"/>
    <w:rsid w:val="00F56DEE"/>
    <w:rsid w:val="00F62D28"/>
    <w:rsid w:val="00F63A63"/>
    <w:rsid w:val="00F727B3"/>
    <w:rsid w:val="00F842A9"/>
    <w:rsid w:val="00F84D16"/>
    <w:rsid w:val="00F86C2A"/>
    <w:rsid w:val="00F92BBA"/>
    <w:rsid w:val="00FA4B99"/>
    <w:rsid w:val="00FB01E8"/>
    <w:rsid w:val="00FB025C"/>
    <w:rsid w:val="00FB33AD"/>
    <w:rsid w:val="00FC5057"/>
    <w:rsid w:val="00FD6E39"/>
    <w:rsid w:val="00FE0EF7"/>
    <w:rsid w:val="00FE13AD"/>
    <w:rsid w:val="00FF1013"/>
    <w:rsid w:val="0C146C97"/>
    <w:rsid w:val="1152760B"/>
    <w:rsid w:val="1B8D5A8D"/>
    <w:rsid w:val="2BB36D4F"/>
    <w:rsid w:val="32CD3283"/>
    <w:rsid w:val="36990430"/>
    <w:rsid w:val="3F905CD7"/>
    <w:rsid w:val="48C2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7B6ED7C-EC14-4CE0-952C-38E88A74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link w:val="1Char"/>
    <w:uiPriority w:val="9"/>
    <w:qFormat/>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link w:val="Char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character" w:customStyle="1" w:styleId="Char">
    <w:name w:val="页脚 Char"/>
    <w:link w:val="a4"/>
    <w:uiPriority w:val="99"/>
    <w:rPr>
      <w:kern w:val="2"/>
      <w:sz w:val="18"/>
      <w:szCs w:val="18"/>
    </w:rPr>
  </w:style>
  <w:style w:type="character" w:styleId="a5">
    <w:name w:val="page number"/>
    <w:basedOn w:val="a0"/>
    <w:uiPriority w:val="99"/>
    <w:unhideWhenUsed/>
  </w:style>
  <w:style w:type="character" w:styleId="a6">
    <w:name w:val="annotation reference"/>
    <w:uiPriority w:val="99"/>
    <w:unhideWhenUsed/>
    <w:rPr>
      <w:sz w:val="21"/>
      <w:szCs w:val="21"/>
    </w:rPr>
  </w:style>
  <w:style w:type="character" w:customStyle="1" w:styleId="Char0">
    <w:name w:val="批注文字 Char"/>
    <w:link w:val="a7"/>
    <w:uiPriority w:val="99"/>
    <w:semiHidden/>
    <w:rPr>
      <w:kern w:val="2"/>
      <w:sz w:val="21"/>
    </w:rPr>
  </w:style>
  <w:style w:type="character" w:customStyle="1" w:styleId="Char2">
    <w:name w:val="批注主题 Char"/>
    <w:link w:val="a8"/>
    <w:uiPriority w:val="99"/>
    <w:semiHidden/>
    <w:rPr>
      <w:b/>
      <w:bCs/>
      <w:kern w:val="2"/>
      <w:sz w:val="21"/>
    </w:rPr>
  </w:style>
  <w:style w:type="character" w:customStyle="1" w:styleId="Char3">
    <w:name w:val="页眉 Char"/>
    <w:link w:val="a9"/>
    <w:uiPriority w:val="99"/>
    <w:rPr>
      <w:kern w:val="2"/>
      <w:sz w:val="18"/>
      <w:szCs w:val="18"/>
    </w:rPr>
  </w:style>
  <w:style w:type="character" w:customStyle="1" w:styleId="Char4">
    <w:name w:val="批注框文本 Char"/>
    <w:link w:val="aa"/>
    <w:uiPriority w:val="99"/>
    <w:semiHidden/>
    <w:rPr>
      <w:kern w:val="2"/>
      <w:sz w:val="18"/>
      <w:szCs w:val="18"/>
    </w:rPr>
  </w:style>
  <w:style w:type="character" w:customStyle="1" w:styleId="Char5">
    <w:name w:val="标题 Char"/>
    <w:link w:val="ab"/>
    <w:uiPriority w:val="10"/>
    <w:rPr>
      <w:rFonts w:ascii="Cambria" w:hAnsi="Cambria" w:cs="Times New Roman"/>
      <w:b/>
      <w:bCs/>
      <w:kern w:val="2"/>
      <w:sz w:val="32"/>
      <w:szCs w:val="32"/>
    </w:rPr>
  </w:style>
  <w:style w:type="character" w:customStyle="1" w:styleId="1Char">
    <w:name w:val="标题 1 Char"/>
    <w:link w:val="1"/>
    <w:uiPriority w:val="9"/>
    <w:rPr>
      <w:rFonts w:ascii="宋体" w:hAnsi="宋体" w:cs="宋体"/>
      <w:b/>
      <w:bCs/>
      <w:kern w:val="36"/>
      <w:sz w:val="48"/>
      <w:szCs w:val="48"/>
    </w:rPr>
  </w:style>
  <w:style w:type="paragraph" w:styleId="a7">
    <w:name w:val="annotation text"/>
    <w:basedOn w:val="a"/>
    <w:link w:val="Char0"/>
    <w:uiPriority w:val="99"/>
    <w:unhideWhenUsed/>
    <w:pPr>
      <w:jc w:val="left"/>
    </w:pPr>
  </w:style>
  <w:style w:type="paragraph" w:styleId="ab">
    <w:name w:val="Title"/>
    <w:basedOn w:val="a"/>
    <w:next w:val="a"/>
    <w:link w:val="Char5"/>
    <w:uiPriority w:val="10"/>
    <w:qFormat/>
    <w:pPr>
      <w:spacing w:before="240" w:after="60"/>
      <w:jc w:val="center"/>
      <w:outlineLvl w:val="0"/>
    </w:pPr>
    <w:rPr>
      <w:rFonts w:ascii="Cambria" w:hAnsi="Cambria"/>
      <w:b/>
      <w:bCs/>
      <w:sz w:val="32"/>
      <w:szCs w:val="32"/>
    </w:rPr>
  </w:style>
  <w:style w:type="paragraph" w:styleId="ac">
    <w:name w:val="Normal (Web)"/>
    <w:basedOn w:val="a"/>
    <w:uiPriority w:val="99"/>
    <w:unhideWhenUsed/>
    <w:pPr>
      <w:spacing w:before="100" w:beforeAutospacing="1" w:after="100" w:afterAutospacing="1"/>
      <w:jc w:val="left"/>
    </w:pPr>
    <w:rPr>
      <w:kern w:val="0"/>
      <w:sz w:val="24"/>
    </w:rPr>
  </w:style>
  <w:style w:type="paragraph" w:styleId="a9">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aa">
    <w:name w:val="Balloon Text"/>
    <w:basedOn w:val="a"/>
    <w:link w:val="Char4"/>
    <w:uiPriority w:val="99"/>
    <w:unhideWhenUsed/>
    <w:rPr>
      <w:sz w:val="18"/>
      <w:szCs w:val="18"/>
    </w:rPr>
  </w:style>
  <w:style w:type="paragraph" w:styleId="a8">
    <w:name w:val="annotation subject"/>
    <w:basedOn w:val="a7"/>
    <w:next w:val="a7"/>
    <w:link w:val="Char2"/>
    <w:uiPriority w:val="99"/>
    <w:unhideWhenUsed/>
    <w:rPr>
      <w:b/>
      <w:bCs/>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customStyle="1" w:styleId="Char1">
    <w:name w:val="Char1"/>
    <w:basedOn w:val="a"/>
    <w:link w:val="a0"/>
    <w:autoRedefine/>
    <w:rsid w:val="008A3BF7"/>
    <w:rPr>
      <w:rFonts w:ascii="仿宋_GB2312" w:eastAsia="仿宋_GB2312"/>
      <w:b/>
      <w:sz w:val="32"/>
      <w:szCs w:val="32"/>
    </w:rPr>
  </w:style>
  <w:style w:type="paragraph" w:styleId="ad">
    <w:name w:val="Date"/>
    <w:basedOn w:val="a"/>
    <w:next w:val="a"/>
    <w:link w:val="Char6"/>
    <w:uiPriority w:val="99"/>
    <w:semiHidden/>
    <w:unhideWhenUsed/>
    <w:rsid w:val="009D5E0F"/>
    <w:pPr>
      <w:ind w:leftChars="2500" w:left="100"/>
    </w:pPr>
  </w:style>
  <w:style w:type="character" w:customStyle="1" w:styleId="Char6">
    <w:name w:val="日期 Char"/>
    <w:link w:val="ad"/>
    <w:uiPriority w:val="99"/>
    <w:semiHidden/>
    <w:rsid w:val="009D5E0F"/>
    <w:rPr>
      <w:kern w:val="2"/>
      <w:sz w:val="21"/>
    </w:rPr>
  </w:style>
  <w:style w:type="table" w:styleId="ae">
    <w:name w:val="Table Grid"/>
    <w:basedOn w:val="a1"/>
    <w:uiPriority w:val="59"/>
    <w:unhideWhenUsed/>
    <w:rsid w:val="009D5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9D5E0F"/>
    <w:pPr>
      <w:ind w:firstLineChars="200" w:firstLine="420"/>
    </w:pPr>
    <w:rPr>
      <w:rFonts w:ascii="Calibri" w:hAnsi="Calibri"/>
      <w:szCs w:val="22"/>
    </w:rPr>
  </w:style>
  <w:style w:type="paragraph" w:customStyle="1" w:styleId="p0">
    <w:name w:val="p0"/>
    <w:basedOn w:val="a"/>
    <w:rsid w:val="009D5E0F"/>
    <w:pPr>
      <w:widowControl/>
      <w:jc w:val="left"/>
    </w:pPr>
    <w:rPr>
      <w:rFonts w:ascii="??" w:eastAsia="??" w:hAnsi="??" w:cs="??"/>
      <w:kern w:val="0"/>
      <w:sz w:val="24"/>
      <w:szCs w:val="24"/>
    </w:rPr>
  </w:style>
  <w:style w:type="paragraph" w:customStyle="1" w:styleId="10">
    <w:name w:val="列出段落1"/>
    <w:basedOn w:val="a"/>
    <w:rsid w:val="009D5E0F"/>
    <w:pPr>
      <w:ind w:firstLineChars="200" w:firstLine="200"/>
    </w:pPr>
    <w:rPr>
      <w:rFonts w:eastAsia="??"/>
      <w:b/>
      <w:sz w:val="44"/>
      <w:szCs w:val="28"/>
    </w:rPr>
  </w:style>
  <w:style w:type="character" w:styleId="af0">
    <w:name w:val="Hyperlink"/>
    <w:uiPriority w:val="99"/>
    <w:unhideWhenUsed/>
    <w:rsid w:val="009D5E0F"/>
    <w:rPr>
      <w:color w:val="0000FF"/>
      <w:u w:val="single"/>
    </w:rPr>
  </w:style>
  <w:style w:type="paragraph" w:customStyle="1" w:styleId="gb5">
    <w:name w:val="gb5号正"/>
    <w:basedOn w:val="a"/>
    <w:qFormat/>
    <w:rsid w:val="009D5E0F"/>
    <w:pPr>
      <w:widowControl/>
      <w:textAlignment w:val="top"/>
    </w:pPr>
    <w:rPr>
      <w:rFonts w:ascii="宋体" w:eastAsia="仿宋_GB2312" w:hAnsi="宋体" w:cs="宋体"/>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663706">
      <w:bodyDiv w:val="1"/>
      <w:marLeft w:val="0"/>
      <w:marRight w:val="0"/>
      <w:marTop w:val="0"/>
      <w:marBottom w:val="0"/>
      <w:divBdr>
        <w:top w:val="none" w:sz="0" w:space="0" w:color="auto"/>
        <w:left w:val="none" w:sz="0" w:space="0" w:color="auto"/>
        <w:bottom w:val="none" w:sz="0" w:space="0" w:color="auto"/>
        <w:right w:val="none" w:sz="0" w:space="0" w:color="auto"/>
      </w:divBdr>
    </w:div>
    <w:div w:id="16905245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Words>
  <Characters>1249</Characters>
  <Application>Microsoft Office Word</Application>
  <DocSecurity>0</DocSecurity>
  <PresentationFormat/>
  <Lines>10</Lines>
  <Paragraphs>2</Paragraphs>
  <Slides>0</Slides>
  <Notes>0</Notes>
  <HiddenSlides>0</HiddenSlides>
  <MMClips>0</MMClips>
  <ScaleCrop>false</ScaleCrop>
  <Company>Microsoft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上海市集体用餐配送单位生产经营基本条件具体要求</dc:title>
  <dc:subject/>
  <dc:creator>管理员</dc:creator>
  <cp:keywords/>
  <cp:lastModifiedBy>ren junxiang</cp:lastModifiedBy>
  <cp:revision>2</cp:revision>
  <cp:lastPrinted>2015-12-17T02:42:00Z</cp:lastPrinted>
  <dcterms:created xsi:type="dcterms:W3CDTF">2018-06-04T03:28:00Z</dcterms:created>
  <dcterms:modified xsi:type="dcterms:W3CDTF">2018-06-04T03:28:00Z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