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Aplicación de gestión de turnos dermatológicos</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Segundo Cuatrimestre 2026</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4mpx6a8znb7" w:id="2"/>
      <w:bookmarkEnd w:id="2"/>
      <w:r w:rsidDel="00000000" w:rsidR="00000000" w:rsidRPr="00000000">
        <w:rPr>
          <w:rtl w:val="0"/>
        </w:rPr>
        <w:t xml:space="preserve">b) Caso de Estudio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0" w:line="276" w:lineRule="auto"/>
        <w:rPr/>
      </w:pPr>
      <w:r w:rsidDel="00000000" w:rsidR="00000000" w:rsidRPr="00000000">
        <w:rPr>
          <w:rtl w:val="0"/>
        </w:rPr>
        <w:t xml:space="preserve">Los responsables de un consultorio dermatológico desean optimizar su gestión operativa, financiera y clínica, y para ello han solicitado la construcción de un sistema integral. En un principio el sistema será operado principalmente por dos perfiles: </w:t>
      </w:r>
      <w:r w:rsidDel="00000000" w:rsidR="00000000" w:rsidRPr="00000000">
        <w:rPr>
          <w:rtl w:val="0"/>
        </w:rPr>
        <w:t xml:space="preserve">secretaria</w:t>
      </w:r>
      <w:r w:rsidDel="00000000" w:rsidR="00000000" w:rsidRPr="00000000">
        <w:rPr>
          <w:rtl w:val="0"/>
        </w:rPr>
        <w:t xml:space="preserve"> y médica.</w:t>
      </w:r>
    </w:p>
    <w:p w:rsidR="00000000" w:rsidDel="00000000" w:rsidP="00000000" w:rsidRDefault="00000000" w:rsidRPr="00000000" w14:paraId="00000007">
      <w:pPr>
        <w:spacing w:after="240" w:before="0" w:line="276" w:lineRule="auto"/>
        <w:rPr/>
      </w:pPr>
      <w:r w:rsidDel="00000000" w:rsidR="00000000" w:rsidRPr="00000000">
        <w:rPr>
          <w:rtl w:val="0"/>
        </w:rPr>
        <w:t xml:space="preserve">Para las actividades de la </w:t>
      </w:r>
      <w:r w:rsidDel="00000000" w:rsidR="00000000" w:rsidRPr="00000000">
        <w:rPr>
          <w:rtl w:val="0"/>
        </w:rPr>
        <w:t xml:space="preserve">secretaria</w:t>
      </w:r>
      <w:r w:rsidDel="00000000" w:rsidR="00000000" w:rsidRPr="00000000">
        <w:rPr>
          <w:rtl w:val="0"/>
        </w:rPr>
        <w:t xml:space="preserve">, el sistema debe permitir administrar la agenda, pudiendo crear, modificar o cancelar turnos. A su vez, se debe registrar el pago del 50% del servicio a reservar, antes de confirmar el turno. </w:t>
      </w:r>
    </w:p>
    <w:p w:rsidR="00000000" w:rsidDel="00000000" w:rsidP="00000000" w:rsidRDefault="00000000" w:rsidRPr="00000000" w14:paraId="00000008">
      <w:pPr>
        <w:spacing w:after="240" w:before="0" w:line="276" w:lineRule="auto"/>
        <w:rPr/>
      </w:pPr>
      <w:r w:rsidDel="00000000" w:rsidR="00000000" w:rsidRPr="00000000">
        <w:rPr>
          <w:rtl w:val="0"/>
        </w:rPr>
        <w:t xml:space="preserve">Para las funciones de la médica, el sistema debe permitir consultar los turnos, filtrados por día, semana o mes,  y acceder de forma inmediata a la historia clínica asociada a cada paciente, ya sea antes o durante la consulta. De esta atención clínica interesa registrar las notas médicas, la evolución e imágenes para registrar el avance del tratamiento, información que debe quedar enlazada de manera relacional al identificador del turno correspondiente.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los pacientes, el sistema debe registrar el nombre, el teléfono y el correo electrónico. De los servicios ofrecidos por el consultorio, el sistema debe registrar el nombre, la descripción, la duración, precio y el porcentaje de seña. En cuanto a los turnos, es necesario almacenar el horario, el estado de la reserva (disponible, bloqueado temporalmente, confirmado, cancelado o finalizado), el paciente, el servicio seleccionado y los datos de la transacción del pago. De los registros de la historia clínica se debe guardar la fecha y hora de la entrada, las notas de evolución médica, el soporte fotográfico y el identificador del turno al que están vinculados.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Además, los usuarios deben poder aplicar bloqueos de calendario para una fecha, un rango de fechas o un rango de horario dentro de una fecha, para representar períodos de no disponibilidad de turnos por vacaciones, cierre, etc. Por cada bloqueo se conoce el usuario que lo crea, momento de inicio y fin, y motivo del bloqueo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Finalmente, para garantizar la seguridad y privacidad de la información, el sistema debe mantener un registro de auditoría de las modificaciones realizadas en las notas clínicas. Para ello, las auditorías deben registrar qué historia clínica se modificó, qué usuario lo hizo, cuándo se realizó la modificación, secciones que fueron modificadas, valores antiguos y valores nuevos.</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3"/>
      <w:bookmarkEnd w:id="3"/>
      <w:r w:rsidDel="00000000" w:rsidR="00000000" w:rsidRPr="00000000">
        <w:rPr>
          <w:rtl w:val="0"/>
        </w:rPr>
        <w:t xml:space="preserve">ESPECIFICACIONES</w:t>
      </w:r>
      <w:r w:rsidDel="00000000" w:rsidR="00000000" w:rsidRPr="00000000">
        <w:rPr>
          <w:rtl w:val="0"/>
        </w:rPr>
      </w:r>
    </w:p>
    <w:p w:rsidR="00000000" w:rsidDel="00000000" w:rsidP="00000000" w:rsidRDefault="00000000" w:rsidRPr="00000000" w14:paraId="0000000D">
      <w:pPr>
        <w:pStyle w:val="Heading2"/>
        <w:rPr/>
      </w:pPr>
      <w:bookmarkStart w:colFirst="0" w:colLast="0" w:name="_pdwehs8mi1wb" w:id="4"/>
      <w:bookmarkEnd w:id="4"/>
      <w:r w:rsidDel="00000000" w:rsidR="00000000" w:rsidRPr="00000000">
        <w:rPr>
          <w:rtl w:val="0"/>
        </w:rPr>
        <w:t xml:space="preserve">Definición de Actores y Casos de Uso</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Secretaria (Administradora de Agenda):</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i w:val="1"/>
          <w:iCs w:val="1"/>
          <w:rtl w:val="0"/>
        </w:rPr>
        <w:t xml:space="preserve">Caso de Uso Principal:</w:t>
      </w:r>
      <w:r w:rsidDel="00000000" w:rsidR="00000000" w:rsidRPr="00000000">
        <w:rPr>
          <w:rtl w:val="0"/>
        </w:rPr>
        <w:t xml:space="preserve"> Crear, reasignar o cancelar turnos telefónicos o presenciales.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i w:val="1"/>
          <w:iCs w:val="1"/>
          <w:rtl w:val="0"/>
        </w:rPr>
        <w:t xml:space="preserve">Caso de Uso de Cobranza:</w:t>
      </w:r>
      <w:r w:rsidDel="00000000" w:rsidR="00000000" w:rsidRPr="00000000">
        <w:rPr>
          <w:rtl w:val="0"/>
        </w:rPr>
        <w:t xml:space="preserve"> Registrar pagos manuales o verificar el estatus de las señas generadas por las pacientes.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Médica (Prestadora):</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i w:val="1"/>
          <w:iCs w:val="1"/>
          <w:rtl w:val="0"/>
        </w:rPr>
        <w:t xml:space="preserve">Caso de Uso Principal:</w:t>
      </w:r>
      <w:r w:rsidDel="00000000" w:rsidR="00000000" w:rsidRPr="00000000">
        <w:rPr>
          <w:rtl w:val="0"/>
        </w:rPr>
        <w:t xml:space="preserve"> Consultar su agenda diaria/mensual y acceder de forma inmediata a la </w:t>
      </w:r>
      <w:r w:rsidDel="00000000" w:rsidR="00000000" w:rsidRPr="00000000">
        <w:rPr>
          <w:b w:val="1"/>
          <w:bCs w:val="1"/>
          <w:rtl w:val="0"/>
        </w:rPr>
        <w:t xml:space="preserve">historia clínica</w:t>
      </w:r>
      <w:r w:rsidDel="00000000" w:rsidR="00000000" w:rsidRPr="00000000">
        <w:rPr>
          <w:rtl w:val="0"/>
        </w:rPr>
        <w:t xml:space="preserve"> asociada a cada paciente antes o durante la consulta.</w:t>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i w:val="1"/>
          <w:iCs w:val="1"/>
          <w:rtl w:val="0"/>
        </w:rPr>
        <w:t xml:space="preserve">Caso de Uso Clínico:</w:t>
      </w:r>
      <w:r w:rsidDel="00000000" w:rsidR="00000000" w:rsidRPr="00000000">
        <w:rPr>
          <w:rtl w:val="0"/>
        </w:rPr>
        <w:t xml:space="preserve"> Registrar notas médicas, evolución y soporte fotográfico básico post-tratamiento estético vinculado al turno.</w:t>
      </w:r>
    </w:p>
    <w:p w:rsidR="00000000" w:rsidDel="00000000" w:rsidP="00000000" w:rsidRDefault="00000000" w:rsidRPr="00000000" w14:paraId="00000014">
      <w:pPr>
        <w:pStyle w:val="Heading2"/>
        <w:rPr>
          <w:b w:val="1"/>
          <w:bCs w:val="1"/>
        </w:rPr>
      </w:pPr>
      <w:bookmarkStart w:colFirst="0" w:colLast="0" w:name="_7p36bnpnfwh2" w:id="5"/>
      <w:bookmarkEnd w:id="5"/>
      <w:r w:rsidDel="00000000" w:rsidR="00000000" w:rsidRPr="00000000">
        <w:rPr>
          <w:rtl w:val="0"/>
        </w:rPr>
        <w:t xml:space="preserve">Especificación Funcional del MVP</w:t>
      </w: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Matriz Visual:</w:t>
      </w:r>
      <w:r w:rsidDel="00000000" w:rsidR="00000000" w:rsidRPr="00000000">
        <w:rPr>
          <w:rtl w:val="0"/>
        </w:rPr>
        <w:t xml:space="preserve"> Un calendario mensual interactivo que muestra a simple vista el estado de cada espacio temporal (</w:t>
      </w:r>
      <w:r w:rsidDel="00000000" w:rsidR="00000000" w:rsidRPr="00000000">
        <w:rPr>
          <w:i w:val="1"/>
          <w:iCs w:val="1"/>
          <w:rtl w:val="0"/>
        </w:rPr>
        <w:t xml:space="preserve">Disponible</w:t>
      </w:r>
      <w:r w:rsidDel="00000000" w:rsidR="00000000" w:rsidRPr="00000000">
        <w:rPr>
          <w:rtl w:val="0"/>
        </w:rPr>
        <w:t xml:space="preserve">, </w:t>
      </w:r>
      <w:r w:rsidDel="00000000" w:rsidR="00000000" w:rsidRPr="00000000">
        <w:rPr>
          <w:i w:val="1"/>
          <w:iCs w:val="1"/>
          <w:rtl w:val="0"/>
        </w:rPr>
        <w:t xml:space="preserve">Reservado</w:t>
      </w:r>
      <w:r w:rsidDel="00000000" w:rsidR="00000000" w:rsidRPr="00000000">
        <w:rPr>
          <w:rtl w:val="0"/>
        </w:rPr>
        <w:t xml:space="preserve">, </w:t>
      </w:r>
      <w:r w:rsidDel="00000000" w:rsidR="00000000" w:rsidRPr="00000000">
        <w:rPr>
          <w:i w:val="1"/>
          <w:iCs w:val="1"/>
          <w:rtl w:val="0"/>
        </w:rPr>
        <w:t xml:space="preserve">Señado</w:t>
      </w:r>
      <w:r w:rsidDel="00000000" w:rsidR="00000000" w:rsidRPr="00000000">
        <w:rPr>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Acción a 1 Clic:</w:t>
      </w:r>
      <w:r w:rsidDel="00000000" w:rsidR="00000000" w:rsidRPr="00000000">
        <w:rPr>
          <w:rtl w:val="0"/>
        </w:rPr>
        <w:t xml:space="preserve"> Al hacer clic en un slot libre, se despliega un panel rápido para registrar a la paciente y disparar el proceso de pago.</w:t>
      </w:r>
      <w:r w:rsidDel="00000000" w:rsidR="00000000" w:rsidRPr="00000000">
        <w:rPr>
          <w:rtl w:val="0"/>
        </w:rPr>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Lógica de Bloqueo Temporal:</w:t>
      </w:r>
      <w:r w:rsidDel="00000000" w:rsidR="00000000" w:rsidRPr="00000000">
        <w:rPr>
          <w:rtl w:val="0"/>
        </w:rPr>
        <w:t xml:space="preserve"> Al seleccionar el turno y elegir señar, el sistema genera una preferencia de pago en </w:t>
      </w:r>
      <w:r w:rsidDel="00000000" w:rsidR="00000000" w:rsidRPr="00000000">
        <w:rPr>
          <w:b w:val="1"/>
          <w:bCs w:val="1"/>
          <w:rtl w:val="0"/>
        </w:rPr>
        <w:t xml:space="preserve">Mercado Pago</w:t>
      </w:r>
      <w:r w:rsidDel="00000000" w:rsidR="00000000" w:rsidRPr="00000000">
        <w:rPr>
          <w:rtl w:val="0"/>
        </w:rPr>
        <w:t xml:space="preserve"> y bloquea temporalmente el slot (ej. por 10 minutos) para evitar que otra persona lo tome.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bCs w:val="1"/>
          <w:rtl w:val="0"/>
        </w:rPr>
        <w:t xml:space="preserve">Webhooks de Confirmación:</w:t>
      </w:r>
      <w:r w:rsidDel="00000000" w:rsidR="00000000" w:rsidRPr="00000000">
        <w:rPr>
          <w:rtl w:val="0"/>
        </w:rPr>
        <w:t xml:space="preserve"> Mediante notificaciones automáticas de pago (</w:t>
      </w:r>
      <w:r w:rsidDel="00000000" w:rsidR="00000000" w:rsidRPr="00000000">
        <w:rPr>
          <w:i w:val="1"/>
          <w:iCs w:val="1"/>
          <w:rtl w:val="0"/>
        </w:rPr>
        <w:t xml:space="preserve">Webhooks</w:t>
      </w:r>
      <w:r w:rsidDel="00000000" w:rsidR="00000000" w:rsidRPr="00000000">
        <w:rPr>
          <w:rtl w:val="0"/>
        </w:rPr>
        <w:t xml:space="preserve">), si la seña del 50% se aprueba, el turno pasa automáticamente a estado </w:t>
      </w:r>
      <w:r w:rsidDel="00000000" w:rsidR="00000000" w:rsidRPr="00000000">
        <w:rPr>
          <w:i w:val="1"/>
          <w:iCs w:val="1"/>
          <w:rtl w:val="0"/>
        </w:rPr>
        <w:t xml:space="preserve">Confirmado</w:t>
      </w:r>
      <w:r w:rsidDel="00000000" w:rsidR="00000000" w:rsidRPr="00000000">
        <w:rPr>
          <w:rtl w:val="0"/>
        </w:rPr>
        <w:t xml:space="preserve">. Si el tiempo expira sin pago, el slot se libera de nuevo.</w:t>
      </w:r>
    </w:p>
    <w:p w:rsidR="00000000" w:rsidDel="00000000" w:rsidP="00000000" w:rsidRDefault="00000000" w:rsidRPr="00000000" w14:paraId="00000019">
      <w:pPr>
        <w:pStyle w:val="Heading2"/>
        <w:rPr/>
      </w:pPr>
      <w:bookmarkStart w:colFirst="0" w:colLast="0" w:name="_n3tf6zpwubor" w:id="6"/>
      <w:bookmarkEnd w:id="6"/>
      <w:r w:rsidDel="00000000" w:rsidR="00000000" w:rsidRPr="00000000">
        <w:rPr>
          <w:rtl w:val="0"/>
        </w:rPr>
        <w:t xml:space="preserve">Arquitectura y Decisiones Técnicas</w:t>
      </w:r>
    </w:p>
    <w:p w:rsidR="00000000" w:rsidDel="00000000" w:rsidP="00000000" w:rsidRDefault="00000000" w:rsidRPr="00000000" w14:paraId="0000001A">
      <w:pPr>
        <w:spacing w:after="240" w:before="240" w:lineRule="auto"/>
        <w:rPr/>
      </w:pPr>
      <w:r w:rsidDel="00000000" w:rsidR="00000000" w:rsidRPr="00000000">
        <w:rPr>
          <w:rtl w:val="0"/>
        </w:rPr>
        <w:t xml:space="preserve">Para garantizar la estabilidad operativa del negocio estético y evitar errores críticos (como las dobles reservas), la arquitectura debe contemplar lo siguiente: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Se utilizará PostgreSQL para que el sistema impida físicamente que dos personas reserven el mismo horario de forma simultánea.</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Stack Tecnológico:</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Frontend:</w:t>
      </w:r>
      <w:r w:rsidDel="00000000" w:rsidR="00000000" w:rsidRPr="00000000">
        <w:rPr>
          <w:rtl w:val="0"/>
        </w:rPr>
        <w:t xml:space="preserve"> React</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Backend:</w:t>
      </w:r>
      <w:r w:rsidDel="00000000" w:rsidR="00000000" w:rsidRPr="00000000">
        <w:rPr>
          <w:rtl w:val="0"/>
        </w:rPr>
        <w:t xml:space="preserve"> Java con Springboot (Hibernate)</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E</w:t>
      </w:r>
      <w:r w:rsidDel="00000000" w:rsidR="00000000" w:rsidRPr="00000000">
        <w:rPr>
          <w:rtl w:val="0"/>
        </w:rPr>
        <w:t xml:space="preserve">l registro médico debe estar enlazado de forma relacional al identificador del turno, permitiendo que la médica consulte antecedentes o suba notas en segundos desde la misma vista del calendario.</w:t>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x5u0l8hx0kbh" w:id="7"/>
      <w:bookmarkEnd w:id="7"/>
      <w:r w:rsidDel="00000000" w:rsidR="00000000" w:rsidRPr="00000000">
        <w:rPr>
          <w:rtl w:val="0"/>
        </w:rPr>
        <w:t xml:space="preserve">HITOS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Visor de Meses Interactivo:</w:t>
      </w:r>
      <w:r w:rsidDel="00000000" w:rsidR="00000000" w:rsidRPr="00000000">
        <w:rPr>
          <w:rtl w:val="0"/>
        </w:rPr>
        <w:t xml:space="preserve"> Diseñado para que la secretaria o la médica puedan revisar a simple vista la disponibilidad total de la agenda y gestionar reservas, cancelaciones o reprogramaciones con un solo clic.</w:t>
      </w:r>
    </w:p>
    <w:p w:rsidR="00000000" w:rsidDel="00000000" w:rsidP="00000000" w:rsidRDefault="00000000" w:rsidRPr="00000000" w14:paraId="00000022">
      <w:pPr>
        <w:rPr/>
      </w:pPr>
      <w:r w:rsidDel="00000000" w:rsidR="00000000" w:rsidRPr="00000000">
        <w:rPr>
          <w:b w:val="1"/>
          <w:bCs w:val="1"/>
          <w:rtl w:val="0"/>
        </w:rPr>
        <w:t xml:space="preserve">Integridad de Datos (Anti-Race-Conditions):</w:t>
      </w:r>
      <w:r w:rsidDel="00000000" w:rsidR="00000000" w:rsidRPr="00000000">
        <w:rPr>
          <w:rtl w:val="0"/>
        </w:rPr>
        <w:t xml:space="preserve"> Gracias a una robusta base de datos relacional (PostgreSQL) gestionada desde el backend en Java, el sistema garantiza que dos usuarios no puedan ocupar el mismo horario simultáneamente, eliminando por completo el problema de las dobles reservas.</w:t>
      </w:r>
    </w:p>
    <w:p w:rsidR="00000000" w:rsidDel="00000000" w:rsidP="00000000" w:rsidRDefault="00000000" w:rsidRPr="00000000" w14:paraId="00000023">
      <w:pPr>
        <w:rPr/>
      </w:pPr>
      <w:r w:rsidDel="00000000" w:rsidR="00000000" w:rsidRPr="00000000">
        <w:rPr>
          <w:b w:val="1"/>
          <w:bCs w:val="1"/>
          <w:rtl w:val="0"/>
        </w:rPr>
        <w:t xml:space="preserve">Seña Obligatoria Integrada:</w:t>
      </w:r>
      <w:r w:rsidDel="00000000" w:rsidR="00000000" w:rsidRPr="00000000">
        <w:rPr>
          <w:rtl w:val="0"/>
        </w:rPr>
        <w:t xml:space="preserve"> A través de la pasarela de pago (Mercado Pago), el sistema automatiza el cobro del 50% de la seña al momento de agendar el turno. Esto no solo formaliza el compromiso del paciente, sino que protege los ingresos del consultorio.</w:t>
      </w:r>
    </w:p>
    <w:p w:rsidR="00000000" w:rsidDel="00000000" w:rsidP="00000000" w:rsidRDefault="00000000" w:rsidRPr="00000000" w14:paraId="00000024">
      <w:pPr>
        <w:rPr/>
      </w:pPr>
      <w:r w:rsidDel="00000000" w:rsidR="00000000" w:rsidRPr="00000000">
        <w:rPr>
          <w:b w:val="1"/>
          <w:bCs w:val="1"/>
          <w:rtl w:val="0"/>
        </w:rPr>
        <w:t xml:space="preserve">Bloqueos Temporales Inteligentes:</w:t>
      </w:r>
      <w:r w:rsidDel="00000000" w:rsidR="00000000" w:rsidRPr="00000000">
        <w:rPr>
          <w:rtl w:val="0"/>
        </w:rPr>
        <w:t xml:space="preserve"> Al seleccionar un espacio, la plataforma bloquea temporalmente el turno de forma automática mientras se procesa el pago, liberándose si la transacción expira para mantener la agenda siempre actualizada.</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Historia Clínica Vinculada:</w:t>
      </w:r>
      <w:r w:rsidDel="00000000" w:rsidR="00000000" w:rsidRPr="00000000">
        <w:rPr>
          <w:rtl w:val="0"/>
        </w:rPr>
        <w:t xml:space="preserve"> A diferencia de las agendas genéricas, este sistema entrelaza directamente el turno con la evolución clínica de la paciente. La médica puede registrar notas, observaciones y el historial evolutivo asociado al procedimiento específico de forma inmediata. </w:t>
      </w:r>
    </w:p>
    <w:p w:rsidR="00000000" w:rsidDel="00000000" w:rsidP="00000000" w:rsidRDefault="00000000" w:rsidRPr="00000000" w14:paraId="00000026">
      <w:pPr>
        <w:pStyle w:val="Heading2"/>
        <w:rPr/>
      </w:pPr>
      <w:bookmarkStart w:colFirst="0" w:colLast="0" w:name="_3f68torkyocm" w:id="8"/>
      <w:bookmarkEnd w:id="8"/>
      <w:r w:rsidDel="00000000" w:rsidR="00000000" w:rsidRPr="00000000">
        <w:rPr>
          <w:rtl w:val="0"/>
        </w:rPr>
        <w:t xml:space="preserve">Marco Legal</w:t>
      </w:r>
    </w:p>
    <w:p w:rsidR="00000000" w:rsidDel="00000000" w:rsidP="00000000" w:rsidRDefault="00000000" w:rsidRPr="00000000" w14:paraId="00000027">
      <w:pPr>
        <w:rPr/>
      </w:pPr>
      <w:r w:rsidDel="00000000" w:rsidR="00000000" w:rsidRPr="00000000">
        <w:rPr>
          <w:rtl w:val="0"/>
        </w:rPr>
        <w:t xml:space="preserve">El manejo de historias clínicas del sistema fue diseñado en cumplimiento con la legislación argentina, específicamente la Ley 25.326 (Protección de Datos Personales), la Ley 26.529 (Derechos del Paciente e Historia Clínica) y la Ley 27.706 (Identidad Digital), para garantizar la confidencialidad, la integridad y la trazabilidad de los datos de salud sensibles. </w:t>
      </w:r>
    </w:p>
    <w:p w:rsidR="00000000" w:rsidDel="00000000" w:rsidP="00000000" w:rsidRDefault="00000000" w:rsidRPr="00000000" w14:paraId="00000028">
      <w:pPr>
        <w:rPr/>
      </w:pPr>
      <w:r w:rsidDel="00000000" w:rsidR="00000000" w:rsidRPr="00000000">
        <w:rPr>
          <w:rtl w:val="0"/>
        </w:rPr>
        <w:t xml:space="preserve">Bajo la Ley 25.326, la información de salud se clasifica como "datos sensibles" que requieren una mayor protección; en consecuencia, todo el contenido clínico (texto de las notas de sesión, hallazgos del examen físico y planes de tratamiento) se cifra a nivel de aplicación utilizando AES-256-GCM antes de ser almacenado en la base de datos, lo que lo hace ilegible para cualquier persona con acceso directo a la base de datos que eluda la aplicación. </w:t>
      </w:r>
    </w:p>
    <w:p w:rsidR="00000000" w:rsidDel="00000000" w:rsidP="00000000" w:rsidRDefault="00000000" w:rsidRPr="00000000" w14:paraId="00000029">
      <w:pPr>
        <w:rPr/>
      </w:pPr>
      <w:r w:rsidDel="00000000" w:rsidR="00000000" w:rsidRPr="00000000">
        <w:rPr>
          <w:rtl w:val="0"/>
        </w:rPr>
        <w:t xml:space="preserve">El acceso a las historias clínicas está restringido exclusivamente a los usuarios con rol de Médica, según lo mandata el Artículo 14 de la Ley 26.529, que establece que solo los profesionales de la salud sujetos al secreto profesional pueden acceder y escribir en la historia clínica; ni los administradores ni los recepcionistas pueden ver las notas clínicas, la historia clínica ni las fotografías médicas adjuntas, ya que se limitan a la información de contacto del paciente y a los datos de programación de turnos. </w:t>
      </w:r>
    </w:p>
    <w:p w:rsidR="00000000" w:rsidDel="00000000" w:rsidP="00000000" w:rsidRDefault="00000000" w:rsidRPr="00000000" w14:paraId="0000002A">
      <w:pPr>
        <w:rPr/>
      </w:pPr>
      <w:r w:rsidDel="00000000" w:rsidR="00000000" w:rsidRPr="00000000">
        <w:rPr>
          <w:rtl w:val="0"/>
        </w:rPr>
        <w:t xml:space="preserve">Para cumplir con el Artículo 13 de la Ley 26.529 respecto a la integridad de la historia clínica, se crearon dos entidades de auditoría dedicadas: </w:t>
      </w:r>
      <w:r w:rsidDel="00000000" w:rsidR="00000000" w:rsidRPr="00000000">
        <w:rPr>
          <w:rFonts w:ascii="Roboto Mono" w:cs="Roboto Mono" w:eastAsia="Roboto Mono" w:hAnsi="Roboto Mono"/>
          <w:b w:val="1"/>
          <w:bCs w:val="1"/>
          <w:color w:val="188038"/>
          <w:sz w:val="26"/>
          <w:szCs w:val="26"/>
          <w:rtl w:val="0"/>
        </w:rPr>
        <w:t xml:space="preserve">ENTRADAHC_AUDITORIA</w:t>
      </w:r>
      <w:r w:rsidDel="00000000" w:rsidR="00000000" w:rsidRPr="00000000">
        <w:rPr>
          <w:rtl w:val="0"/>
        </w:rPr>
        <w:t xml:space="preserve"> almacena el contenido anterior y nuevo completo de las notas de sesión cada vez que un médico las edita dentro de la ventana permitida de 24 horas, tras lo cual la nota se vuelve inmutable; </w:t>
      </w:r>
      <w:r w:rsidDel="00000000" w:rsidR="00000000" w:rsidRPr="00000000">
        <w:rPr>
          <w:rFonts w:ascii="Roboto Mono" w:cs="Roboto Mono" w:eastAsia="Roboto Mono" w:hAnsi="Roboto Mono"/>
          <w:b w:val="1"/>
          <w:bCs w:val="1"/>
          <w:color w:val="188038"/>
          <w:sz w:val="26"/>
          <w:szCs w:val="26"/>
          <w:rtl w:val="0"/>
        </w:rPr>
        <w:t xml:space="preserve">HISTORIA_CLINICA_AUDITORIA</w:t>
      </w:r>
      <w:r w:rsidDel="00000000" w:rsidR="00000000" w:rsidRPr="00000000">
        <w:rPr>
          <w:rtl w:val="0"/>
        </w:rPr>
        <w:t xml:space="preserve"> almacena diferencias a nivel de sección (valores anteriores y nuevos en formato JSONB) cada vez que se modifica la historia clínica vital del paciente, registrando qué sección cambió, quién la cambió y cuándo (timestamp). Estos registros de auditoría garantizan que ninguna modificación quede sin rastrear y que el registro original siempre pueda ser reconstruido, cumpliendo con el requisito legal de no alteración. </w:t>
      </w:r>
    </w:p>
    <w:p w:rsidR="00000000" w:rsidDel="00000000" w:rsidP="00000000" w:rsidRDefault="00000000" w:rsidRPr="00000000" w14:paraId="0000002B">
      <w:pPr>
        <w:rPr/>
      </w:pPr>
      <w:r w:rsidDel="00000000" w:rsidR="00000000" w:rsidRPr="00000000">
        <w:rPr>
          <w:rtl w:val="0"/>
        </w:rPr>
        <w:t xml:space="preserve">Para garantizar el derecho del paciente a acceder a su propia información médica (Artículo 14 de la Ley 25.326 y Artículo 19 de la Ley 26.529), el sistema ofrece una funcionalidad de exportación a PDF accesible solo para los médicos, la cual genera una historia clínica completa en español que incluye datos de filiación, la historia médica estructurada, todas las notas de sesión con fechas y médico autor, y el historial de turnos, lo que permite a la clínica entregar una copia impresa a solicitud del paciente. Adicionalmente, la entidad de historia clínica en sí misma fue diseñada con una combinación de campos indexados estructurados (banderas booleanas para condiciones patológicas, alergias y hábitos) para la seguridad clínica y la analítica, y campos JSONB cifrados semi-estructurados (examen físico, plan de tratamiento) para una documentación narrativa flexible, reflejando el enfoque híbrido recomendado por los estándares de informática en salud como HL7 FHIR mientras se mantienen los requisitos de cifrado y control de acceso impuestas por la ley argentina. </w:t>
      </w:r>
      <w:r w:rsidDel="00000000" w:rsidR="00000000" w:rsidRPr="00000000">
        <w:rPr>
          <w:rtl w:val="0"/>
        </w:rPr>
      </w:r>
    </w:p>
    <w:p w:rsidR="00000000" w:rsidDel="00000000" w:rsidP="00000000" w:rsidRDefault="00000000" w:rsidRPr="00000000" w14:paraId="0000002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x8rkjwa8fzc" w:id="9"/>
      <w:bookmarkEnd w:id="9"/>
      <w:r w:rsidDel="00000000" w:rsidR="00000000" w:rsidRPr="00000000">
        <w:rPr>
          <w:rtl w:val="0"/>
        </w:rPr>
        <w:t xml:space="preserve">Estándares de la cátedra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aplicación se diseña bajo una estricta arquitectura en capas (Controladores, Servicios y Repositorios) en Spring Boot, implementando patrones de diseño reconocidos como DAO y Singleton para garantizar escalabilidad y mantenimiento del código.</w:t>
      </w:r>
    </w:p>
    <w:p w:rsidR="00000000" w:rsidDel="00000000" w:rsidP="00000000" w:rsidRDefault="00000000" w:rsidRPr="00000000" w14:paraId="0000002E">
      <w:pPr>
        <w:rPr/>
      </w:pPr>
      <w:r w:rsidDel="00000000" w:rsidR="00000000" w:rsidRPr="00000000">
        <w:rPr>
          <w:rtl w:val="0"/>
        </w:rPr>
        <w:t xml:space="preserve">Seguridad y Privacidad: Control de acceso por roles (RBAC) y cifrado, asegurando que solo el personal autorizado (secretaria o médica) manipule información sensible de pagos e historias clínicas.</w:t>
      </w:r>
    </w:p>
    <w:p w:rsidR="00000000" w:rsidDel="00000000" w:rsidP="00000000" w:rsidRDefault="00000000" w:rsidRPr="00000000" w14:paraId="0000002F">
      <w:pPr>
        <w:pStyle w:val="Heading1"/>
        <w:rPr/>
      </w:pPr>
      <w:bookmarkStart w:colFirst="0" w:colLast="0" w:name="_cwrj7w5l0zmn" w:id="10"/>
      <w:bookmarkEnd w:id="10"/>
      <w:r w:rsidDel="00000000" w:rsidR="00000000" w:rsidRPr="00000000">
        <w:rPr>
          <w:rtl w:val="0"/>
        </w:rPr>
        <w:t xml:space="preserve">Implementaciones para futuras versiones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Autogestión de Turnos por WhatsApp</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Permite a los pacientes solicitar turnos de consulta y abonar la seña del 50% de manera automatizada a través de un canal de mensajería instantánea (WhatsApp), conectándose de forma directa con la API del backend.</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Actor Principal:</w:t>
      </w:r>
      <w:r w:rsidDel="00000000" w:rsidR="00000000" w:rsidRPr="00000000">
        <w:rPr>
          <w:rtl w:val="0"/>
        </w:rPr>
        <w:t xml:space="preserve"> Paciente.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Actores Secundarios:</w:t>
      </w:r>
      <w:r w:rsidDel="00000000" w:rsidR="00000000" w:rsidRPr="00000000">
        <w:rPr>
          <w:rtl w:val="0"/>
        </w:rPr>
        <w:t xml:space="preserve"> Plataforma Meta WhatsApp Cloud API, Pasarela de Pagos (Mercado Pago), Backend (Spring Boot).</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Requerimiento Técnico Asociado:</w:t>
      </w:r>
      <w:r w:rsidDel="00000000" w:rsidR="00000000" w:rsidRPr="00000000">
        <w:rPr>
          <w:rtl w:val="0"/>
        </w:rPr>
        <w:t xml:space="preserve"> El servidor backend debe implementar un controlador con un </w:t>
      </w:r>
      <w:r w:rsidDel="00000000" w:rsidR="00000000" w:rsidRPr="00000000">
        <w:rPr>
          <w:i w:val="1"/>
          <w:iCs w:val="1"/>
          <w:rtl w:val="0"/>
        </w:rPr>
        <w:t xml:space="preserve">Webhook</w:t>
      </w:r>
      <w:r w:rsidDel="00000000" w:rsidR="00000000" w:rsidRPr="00000000">
        <w:rPr>
          <w:rtl w:val="0"/>
        </w:rPr>
        <w:t xml:space="preserve"> seguro para procesar los eventos de mensajería entrantes y salientes en tiempo real, garantizando la persistencia transaccional en PostgreSQL para evitar solapamientos de horarios.</w:t>
      </w:r>
    </w:p>
    <w:p w:rsidR="00000000" w:rsidDel="00000000" w:rsidP="00000000" w:rsidRDefault="00000000" w:rsidRPr="00000000" w14:paraId="00000035">
      <w:pPr>
        <w:rPr/>
      </w:pPr>
      <w:r w:rsidDel="00000000" w:rsidR="00000000" w:rsidRPr="00000000">
        <w:rPr>
          <w:rtl w:val="0"/>
        </w:rPr>
      </w:r>
    </w:p>
    <w:sectPr>
      <w:headerReference r:id="rId6" w:type="default"/>
      <w:headerReference r:id="rId7" w:type="first"/>
      <w:footerReference r:id="rId8"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before="0" w:line="240" w:lineRule="auto"/>
      <w:rPr>
        <w:b w:val="1"/>
        <w:bCs w:val="1"/>
        <w:color w:val="00ab44"/>
        <w:sz w:val="28"/>
        <w:szCs w:val="28"/>
      </w:rPr>
    </w:pPr>
    <w:r w:rsidDel="00000000" w:rsidR="00000000" w:rsidRPr="00000000">
      <w:rPr>
        <w:b w:val="1"/>
        <w:bCs w:val="1"/>
        <w:color w:val="00ab44"/>
        <w:sz w:val="28"/>
        <w:szCs w:val="28"/>
        <w:rtl w:val="0"/>
      </w:rPr>
      <w:t xml:space="preserve">Ingeniería del Software II</w:t>
    </w:r>
  </w:p>
  <w:p w:rsidR="00000000" w:rsidDel="00000000" w:rsidP="00000000" w:rsidRDefault="00000000" w:rsidRPr="00000000" w14:paraId="00000039">
    <w:pPr>
      <w:spacing w:before="0" w:line="240" w:lineRule="auto"/>
      <w:rPr>
        <w:color w:val="666666"/>
        <w:sz w:val="20"/>
        <w:szCs w:val="20"/>
      </w:rPr>
    </w:pPr>
    <w:r w:rsidDel="00000000" w:rsidR="00000000" w:rsidRPr="00000000">
      <w:rPr/>
      <w:drawing>
        <wp:inline distB="114300" distT="114300" distL="114300" distR="114300">
          <wp:extent cx="5943600" cy="63500"/>
          <wp:effectExtent b="0" l="0" r="0" 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color w:val="666666"/>
        <w:sz w:val="20"/>
        <w:szCs w:val="20"/>
        <w:rtl w:val="0"/>
      </w:rPr>
      <w:t xml:space="preserve">UNSL</w:t>
    </w:r>
  </w:p>
  <w:p w:rsidR="00000000" w:rsidDel="00000000" w:rsidP="00000000" w:rsidRDefault="00000000" w:rsidRPr="00000000" w14:paraId="0000003A">
    <w:pPr>
      <w:spacing w:before="0" w:line="240" w:lineRule="auto"/>
      <w:rPr>
        <w:color w:val="666666"/>
        <w:sz w:val="20"/>
        <w:szCs w:val="20"/>
      </w:rPr>
    </w:pPr>
    <w:r w:rsidDel="00000000" w:rsidR="00000000" w:rsidRPr="00000000">
      <w:rPr>
        <w:color w:val="666666"/>
        <w:sz w:val="20"/>
        <w:szCs w:val="20"/>
        <w:rtl w:val="0"/>
      </w:rPr>
      <w:t xml:space="preserve">Alume, Del Castillo, Losowski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