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Una clínica dermatológica decide sistematizar su información, que consta de lo siguiente: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Datos del paciente: un identificador único, nombre, DNI, número de teléfono, correo electrónico, fecha de nacimiento y profesión. Para los usuarios del sistema (personal de la clínica), se registra la siguiente información: su identificador, nombre de usuario, nombre completo, correo electrónico, contraseña cifrada, rol (médico o recepcionista), estado de la cuenta(activa/inactiva).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También se mantiene información sobre los servicios dermatológicos ofrecidos. Para cada servicio, hay un identificador, nombre, descripción, duración en minutos, precio base, porcentaje de depósito, intervalo de seguimiento en días y estado (activo/inactivo).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clínica mantiene un registro de citas que vincula a los pacientes con los servicios en franjas horarias específicas. Para cada cita, el sistema almacena un identificador, el paciente, el servicio, el miembro del personal que la creó, las horas de inicio y fin, el estado (pago pendiente, confirmada, cancelada, completada, pago fallido o no se presentó), el precio acordado al momento de la reserva, una referencia a una cita anterior si es un seguimiento, una fecha límite de reserva temporal, el número de reprogramaciones, la hora de inicio original y un número de versión para el control de concurrencia.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 transacciones de pago se registran para cada cita, incluyendo un identificador, la cita asociada, los identificadores de preferencia y pago de MercadoPago, el tipo de pago (depósito o saldo final), el monto, el estado (pendiente, aprobado, rechazado o reembolsado), el miembro del personal que lo registró (para pagos finales en persona) y la fecha de pago.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La clínica también gestiona bloques de calendario que representan períodos de indisponibilidad; para cada bloque, se almacena un código, el administrador que lo creó, las horas de inicio y fin y un motivo.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highlight w:val="yellow"/>
          <w:rtl w:val="0"/>
        </w:rPr>
        <w:t xml:space="preserve">Para cada paciente, se crea una historia clínica estructurada en su primera visita</w:t>
      </w:r>
      <w:r w:rsidDel="00000000" w:rsidR="00000000" w:rsidRPr="00000000">
        <w:rPr>
          <w:rtl w:val="0"/>
        </w:rPr>
        <w:t xml:space="preserve">, que contiene afecciones patológicas, alergias, hábitos tóxicos, antecedentes quirúrgicos y ginecológicos, medicamentos actuales, tratamientos estéticos previos, fototipo Fitzpatrick, hallazgos del examen físico, plan de tratamiento y estado del consentimiento informado. El médico tratante registra las notas de la sesión clínica en cada cita, almacenando contenido de texto libre con una marca de tiempo. Tanto la historia clínica como las notas clínicas mantienen registros de auditoría que registran valores anteriores y nuevos, el médico que realizó la modificación y la “timestamp” de la modificación. Se pueden adjuntar fotografías a la historia clínica del paciente, almacenando la ruta del archivo, el nombre del archivo original, el tipo de contenido, el tamaño del archivo y una descripción opcional.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Finalmente, se mantienen tokens de restablecimiento de contraseña para la recuperación de la cuenta, almacenando el usuario asociado, un valor de token único, el estado y la “timestamp” de vencimiento. Un paciente puede tener muchas citas, cada cita puede tener múltiples transacciones de pago y múltiples notas clínicas, y cada paciente tiene como máximo una historia clínica que puede contener muchas fotos.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