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2E6" w:rsidRDefault="0047570E" w:rsidP="0047570E">
      <w:pPr>
        <w:jc w:val="center"/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bookmarkStart w:id="0" w:name="_GoBack"/>
      <w:r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>Data</w:t>
      </w:r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 section</w:t>
      </w:r>
    </w:p>
    <w:bookmarkEnd w:id="0"/>
    <w:p w:rsidR="0047570E" w:rsidRDefault="0047570E">
      <w:r>
        <w:t xml:space="preserve">To demonstrate which are the three top cities that need education investment of this International organization </w:t>
      </w:r>
      <w:proofErr w:type="spellStart"/>
      <w:r>
        <w:t>FourSquare</w:t>
      </w:r>
      <w:proofErr w:type="spellEnd"/>
      <w:r>
        <w:t xml:space="preserve"> data will be </w:t>
      </w:r>
      <w:proofErr w:type="gramStart"/>
      <w:r>
        <w:t>require</w:t>
      </w:r>
      <w:proofErr w:type="gramEnd"/>
      <w:r>
        <w:t xml:space="preserve"> to be used to discover the number of universities available in the different cities of Peru, compare them and stablish a ranking to help the International Institution decide with evidence. Also, we are going to use population data available in statistics portals like INEI in Peru.</w:t>
      </w:r>
    </w:p>
    <w:sectPr w:rsidR="0047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0E"/>
    <w:rsid w:val="00224BDD"/>
    <w:rsid w:val="0047570E"/>
    <w:rsid w:val="00A6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B0E6"/>
  <w15:chartTrackingRefBased/>
  <w15:docId w15:val="{888E32AF-C097-4A16-B7B1-8D52EDCB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5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CALDERON OLAGUIVEL</dc:creator>
  <cp:keywords/>
  <dc:description/>
  <cp:lastModifiedBy>ROSA MARIA CALDERON OLAGUIVEL</cp:lastModifiedBy>
  <cp:revision>1</cp:revision>
  <dcterms:created xsi:type="dcterms:W3CDTF">2019-03-21T03:13:00Z</dcterms:created>
  <dcterms:modified xsi:type="dcterms:W3CDTF">2019-03-21T03:19:00Z</dcterms:modified>
</cp:coreProperties>
</file>