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</w:r>
      <w:r>
        <w:rPr>
          <w:rFonts w:ascii="Arial" w:hAnsi="Arial"/>
          <w:b/>
          <w:sz w:val="48"/>
        </w:rPr>
        <w:t>DOCUMENTAÇÃO TÉCNICA DE ENTREGA</w:t>
      </w:r>
      <w:r>
        <w:br/>
      </w:r>
      <w:r>
        <w:rPr>
          <w:rFonts w:ascii="Arial" w:hAnsi="Arial"/>
          <w:b/>
          <w:sz w:val="36"/>
        </w:rPr>
        <w:t>Controle de Fornecimento e Não Conformidades</w:t>
      </w:r>
      <w:r>
        <w:br/>
      </w:r>
      <w:r>
        <w:rPr>
          <w:rFonts w:ascii="Arial" w:hAnsi="Arial"/>
          <w:sz w:val="28"/>
        </w:rPr>
        <w:t>TOTVS Protheus • SIGACOM • ADVPL</w:t>
      </w:r>
      <w:r>
        <w:br/>
        <w:br/>
      </w:r>
      <w:r>
        <w:rPr>
          <w:rFonts w:ascii="Arial" w:hAnsi="Arial"/>
          <w:sz w:val="24"/>
        </w:rPr>
        <w:t>TCC — Harbour/ADVPL — Do Zero ao Protheus</w:t>
      </w:r>
      <w:r>
        <w:br/>
        <w:br/>
        <w:br/>
      </w:r>
      <w:r>
        <w:rPr>
          <w:rFonts w:ascii="Arial" w:hAnsi="Arial"/>
          <w:sz w:val="22"/>
        </w:rPr>
        <w:t>Versão da documentação: 1.0</w:t>
        <w:br/>
        <w:t>Data de entrega: 07/08/2026</w:t>
      </w:r>
    </w:p>
    <w:p>
      <w:r>
        <w:br w:type="page"/>
      </w:r>
    </w:p>
    <w:p>
      <w:pPr>
        <w:pStyle w:val="Heading1"/>
      </w:pPr>
      <w:r>
        <w:t>1. Objetivo do Projeto</w:t>
      </w:r>
    </w:p>
    <w:p>
      <w:r>
        <w:t>O projeto implementa no módulo de Compras (SIGACOM) do TOTVS Protheus um controle de certificados de qualidade de fornecedores e de ocorrências de não conformidade na entrada de materiais. O objetivo funcional é apoiar o acompanhamento de fornecedores no contexto do processo de certificação ISO 9001.</w:t>
      </w:r>
    </w:p>
    <w:p>
      <w:r>
        <w:t>A solução utiliza duas tabelas customizadas: ZZ1 para o controle de fornecimento e certificados, e ZZ2 para registrar as ocorrências relacionadas. As tabelas se integram aos cadastros padrão SA2 (Fornecedores) e SB1 (Produtos).</w:t>
      </w:r>
    </w:p>
    <w:p>
      <w:pPr>
        <w:pStyle w:val="Heading1"/>
      </w:pPr>
      <w:r>
        <w:t>2. Escopo Funcional</w:t>
      </w:r>
    </w:p>
    <w:p>
      <w:pPr>
        <w:pStyle w:val="ListBullet"/>
      </w:pPr>
      <w:r>
        <w:t>Cadastrar e manter controles de fornecimento por fornecedor.</w:t>
      </w:r>
    </w:p>
    <w:p>
      <w:pPr>
        <w:pStyle w:val="ListBullet"/>
      </w:pPr>
      <w:r>
        <w:t>Registrar dados e validade do certificado de qualidade.</w:t>
      </w:r>
    </w:p>
    <w:p>
      <w:pPr>
        <w:pStyle w:val="ListBullet"/>
      </w:pPr>
      <w:r>
        <w:t>Definir percentual de tolerância de não conformidade.</w:t>
      </w:r>
    </w:p>
    <w:p>
      <w:pPr>
        <w:pStyle w:val="ListBullet"/>
      </w:pPr>
      <w:r>
        <w:t>Registrar ocorrências de fornecedor vinculadas ao controle ZZ1.</w:t>
      </w:r>
    </w:p>
    <w:p>
      <w:pPr>
        <w:pStyle w:val="ListBullet"/>
      </w:pPr>
      <w:r>
        <w:t>Relacionar as ocorrências a produtos do cadastro SB1.</w:t>
      </w:r>
    </w:p>
    <w:p>
      <w:pPr>
        <w:pStyle w:val="ListBullet"/>
      </w:pPr>
      <w:r>
        <w:t>Calcular quantidades e valores conformes e não conformes.</w:t>
      </w:r>
    </w:p>
    <w:p>
      <w:pPr>
        <w:pStyle w:val="ListBullet"/>
      </w:pPr>
      <w:r>
        <w:t>Disponibilizar rotinas mBrowse para ZZ1 e ZZ2.</w:t>
      </w:r>
    </w:p>
    <w:p>
      <w:pPr>
        <w:pStyle w:val="ListBullet"/>
      </w:pPr>
      <w:r>
        <w:t>Apresentar legendas visuais para validade do certificado e nível de não conformidade.</w:t>
      </w:r>
    </w:p>
    <w:p>
      <w:pPr>
        <w:pStyle w:val="ListBullet"/>
      </w:pPr>
      <w:r>
        <w:t>Disponibilizar acesso às rotinas pelo menu do SIGACOM.</w:t>
      </w:r>
    </w:p>
    <w:p>
      <w:pPr>
        <w:pStyle w:val="Heading1"/>
      </w:pPr>
      <w:r>
        <w:t>3. Arquitetura e Integrações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Componente</w:t>
            </w:r>
          </w:p>
        </w:tc>
        <w:tc>
          <w:tcPr>
            <w:tcW w:type="dxa" w:w="8208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Finalidade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Controle de fornecimento, certificado, validade, tolerância e totais.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Ocorrências de não conformidade vinculadas ao controle ZZ1.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SA2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Cadastro padrão utilizado para validar e obter dados do fornecedor.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SB1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Cadastro padrão utilizado para validar e obter dados do produto.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SX3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Definição dos campos, validações, formatos e campos virtuais.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SX7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Gatilhos para preenchimentos automáticos.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SXB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Consultas padrão para controle, fornecedor e produto.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SIGACOM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Módulo em que as rotinas são disponibilizadas.</w:t>
            </w:r>
          </w:p>
        </w:tc>
      </w:tr>
    </w:tbl>
    <w:p/>
    <w:p>
      <w:pPr>
        <w:pStyle w:val="Heading1"/>
      </w:pPr>
      <w:r>
        <w:t>4. Dicionário de Dados</w:t>
      </w:r>
    </w:p>
    <w:p>
      <w:pPr>
        <w:pStyle w:val="Heading2"/>
      </w:pPr>
      <w:r>
        <w:t>4.1 Tabela ZZ1 — Controle de Fornecimento</w:t>
      </w:r>
    </w:p>
    <w:p>
      <w:r>
        <w:t>Acesso: Compartilhado.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230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Título</w:t>
            </w:r>
          </w:p>
        </w:tc>
        <w:tc>
          <w:tcPr>
            <w:tcW w:type="dxa" w:w="2016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Campo</w:t>
            </w:r>
          </w:p>
        </w:tc>
        <w:tc>
          <w:tcPr>
            <w:tcW w:type="dxa" w:w="86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Tipo</w:t>
            </w:r>
          </w:p>
        </w:tc>
        <w:tc>
          <w:tcPr>
            <w:tcW w:type="dxa" w:w="86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Tam.</w:t>
            </w:r>
          </w:p>
        </w:tc>
        <w:tc>
          <w:tcPr>
            <w:tcW w:type="dxa" w:w="86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Dec.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Contexto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Filial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ZZ1_FILIAL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Código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ZZ1_CODIGO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6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Cód. Fornecedor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ZZ1_FORNEC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6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Loja Fornecedor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ZZ1_LOJAFO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Nome Fornecedor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ZZ1_NOMEFO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40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Virtual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Dados Certificado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ZZ1_CERTIF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256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Val. Certificado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ZZ1_VALCER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Tolerância (%)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ZZ1_TOLERA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Qtd. Conforme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ZZ1_TOTOK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12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Qtd. Não Conforme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ZZ1_TOTNOK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12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86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Ordem</w:t>
            </w:r>
          </w:p>
        </w:tc>
        <w:tc>
          <w:tcPr>
            <w:tcW w:type="dxa" w:w="662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Expressão</w:t>
            </w:r>
          </w:p>
        </w:tc>
        <w:tc>
          <w:tcPr>
            <w:tcW w:type="dxa" w:w="259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Descrição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66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ZZ1_FILIAL + ZZ1_CODIGO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Chave primária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66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ZZ1_FILIAL + ZZ1_FORNEC + ZZ1_LOJAFO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Por fornecedor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66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ZZ1_FILIAL + DTOS(ZZ1_VALCER)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Por validade do certificado</w:t>
            </w:r>
          </w:p>
        </w:tc>
      </w:tr>
    </w:tbl>
    <w:p/>
    <w:p>
      <w:pPr>
        <w:pStyle w:val="Heading2"/>
      </w:pPr>
      <w:r>
        <w:t>4.2 Tabela ZZ2 — Ocorrências do Fornecedor</w:t>
      </w:r>
    </w:p>
    <w:p>
      <w:r>
        <w:t>Acesso: Compartilhado.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230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Título</w:t>
            </w:r>
          </w:p>
        </w:tc>
        <w:tc>
          <w:tcPr>
            <w:tcW w:type="dxa" w:w="2016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Campo</w:t>
            </w:r>
          </w:p>
        </w:tc>
        <w:tc>
          <w:tcPr>
            <w:tcW w:type="dxa" w:w="86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Tipo</w:t>
            </w:r>
          </w:p>
        </w:tc>
        <w:tc>
          <w:tcPr>
            <w:tcW w:type="dxa" w:w="86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Tam.</w:t>
            </w:r>
          </w:p>
        </w:tc>
        <w:tc>
          <w:tcPr>
            <w:tcW w:type="dxa" w:w="86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Dec.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Contexto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Filial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ZZ2_FILIAL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Controle (→ZZ1)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ZZ2_CONFOR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6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Cód. Fornecedor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ZZ2_FORNEC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6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Loja Fornecedor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ZZ2_LOJAFO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Nome Fornecedor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ZZ2_NOMEFO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40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Virtual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Data Ocorrência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ZZ2_DATA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Hora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ZZ2_HORA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Produto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ZZ2_CODPRO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15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Qtde. Conforme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ZZ2_QTDOK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12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Qtde. Não Conforme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ZZ2_QTDNOK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12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Valor Unitário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ZZ2_VLRUNI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12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R$ Conforme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ZZ2_TOTOK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12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Virtual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R$ Não Conforme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ZZ2_TOTNOK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12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Virtual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86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Ordem</w:t>
            </w:r>
          </w:p>
        </w:tc>
        <w:tc>
          <w:tcPr>
            <w:tcW w:type="dxa" w:w="662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Expressão</w:t>
            </w:r>
          </w:p>
        </w:tc>
        <w:tc>
          <w:tcPr>
            <w:tcW w:type="dxa" w:w="259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Descrição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66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ZZ2_FILIAL + ZZ2_CONFOR + DTOS(ZZ2_DATA) + ZZ2_HORA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Chave primária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66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ZZ2_FILIAL + ZZ2_FORNEC + ZZ2_LOJAFO + DTOS(ZZ2_DATA)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Por fornecedor e data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66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ZZ2_FILIAL + DTOS(ZZ2_DATA)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Por data</w:t>
            </w:r>
          </w:p>
        </w:tc>
      </w:tr>
    </w:tbl>
    <w:p/>
    <w:p>
      <w:pPr>
        <w:pStyle w:val="Heading1"/>
      </w:pPr>
      <w:r>
        <w:t>5. Campos Virtuais e Regras de Cálculo</w:t>
      </w:r>
    </w:p>
    <w:p>
      <w:r>
        <w:t>Nome do fornecedor na ZZ1:</w:t>
      </w:r>
    </w:p>
    <w:p>
      <w:pPr>
        <w:pStyle w:val="Código"/>
        <w:spacing w:after="80"/>
      </w:pPr>
      <w:r>
        <w:t>POSICIONE("SA2",1,xFilial("SA2")+M-&gt;ZZ1_FORNEC+M-&gt;ZZ1_LOJAFO,"A2_NOME")</w:t>
      </w:r>
    </w:p>
    <w:p>
      <w:r>
        <w:t>Nome do fornecedor na ZZ2:</w:t>
      </w:r>
    </w:p>
    <w:p>
      <w:pPr>
        <w:pStyle w:val="Código"/>
        <w:spacing w:after="80"/>
      </w:pPr>
      <w:r>
        <w:t>POSICIONE("SA2",1,xFilial("SA2")+M-&gt;ZZ2_FORNEC+M-&gt;ZZ2_LOJAFO,"A2_NOME")</w:t>
      </w:r>
    </w:p>
    <w:p>
      <w:r>
        <w:t>Valores monetários das ocorrências:</w:t>
      </w:r>
    </w:p>
    <w:p>
      <w:pPr>
        <w:pStyle w:val="Código"/>
        <w:spacing w:after="80"/>
      </w:pPr>
      <w:r>
        <w:t>ZZ2_TOTOK  = M-&gt;ZZ2_QTDOK  * M-&gt;ZZ2_VLRUNI</w:t>
        <w:br/>
        <w:t>ZZ2_TOTNOK = M-&gt;ZZ2_QTDNOK * M-&gt;ZZ2_VLRUNI</w:t>
      </w:r>
    </w:p>
    <w:p>
      <w:r>
        <w:t>Para campos numéricos, o formato (X3_PICTURE) deve ser configurado de acordo com o tamanho e as casas decimais. O material de especificação sugere, como referência, @E 999,999,999.99.</w:t>
      </w:r>
    </w:p>
    <w:p>
      <w:pPr>
        <w:pStyle w:val="Heading1"/>
      </w:pPr>
      <w:r>
        <w:t>6. Validações de 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Campo</w:t>
            </w:r>
          </w:p>
        </w:tc>
        <w:tc>
          <w:tcPr>
            <w:tcW w:type="dxa" w:w="806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Regra funcional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ZZ1_FORNEC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Fornecedor informado deve existir na SA2.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ZZ1_VALCER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Na inclusão, a validade do certificado não pode ser inferior à data-base.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ZZ1_TOLERA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Percentual deve permanecer entre 0 e 100.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ZZ2_CONFOR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Controle informado deve existir na ZZ1.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ZZ2_CODPRO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Produto informado deve existir na SB1.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ZZ2_DATA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Data da ocorrência não pode ser futura.</w:t>
            </w:r>
          </w:p>
        </w:tc>
      </w:tr>
    </w:tbl>
    <w:p/>
    <w:p>
      <w:r>
        <w:t>Observação de implementação: em ambientes legados, a composição da chave utilizada por ExistCpo() deve ser validada conforme o comportamento do ambiente e os índices configurados. O critério funcional permanece a existência do registro relacionado.</w:t>
      </w:r>
    </w:p>
    <w:p>
      <w:pPr>
        <w:pStyle w:val="Heading1"/>
      </w:pPr>
      <w:r>
        <w:t>7. Gatilhos SX7</w:t>
      </w:r>
    </w:p>
    <w:p>
      <w:pPr>
        <w:pStyle w:val="Heading2"/>
      </w:pPr>
      <w:r>
        <w:t>7.1 Gatilhos da ZZ1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87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Origem</w:t>
            </w:r>
          </w:p>
        </w:tc>
        <w:tc>
          <w:tcPr>
            <w:tcW w:type="dxa" w:w="187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Destino</w:t>
            </w:r>
          </w:p>
        </w:tc>
        <w:tc>
          <w:tcPr>
            <w:tcW w:type="dxa" w:w="547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Objetivo</w:t>
            </w:r>
          </w:p>
        </w:tc>
        <w:tc>
          <w:tcPr>
            <w:tcW w:type="dxa" w:w="720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Fase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ZZ1_FORNEC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ZZ1_NOMEFO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Obter A2_NOME do fornecedor informado.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</w:tr>
    </w:tbl>
    <w:p/>
    <w:p>
      <w:pPr>
        <w:pStyle w:val="Heading2"/>
      </w:pPr>
      <w:r>
        <w:t>7.2 Gatilhos da ZZ2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87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Origem</w:t>
            </w:r>
          </w:p>
        </w:tc>
        <w:tc>
          <w:tcPr>
            <w:tcW w:type="dxa" w:w="187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Destino</w:t>
            </w:r>
          </w:p>
        </w:tc>
        <w:tc>
          <w:tcPr>
            <w:tcW w:type="dxa" w:w="547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Objetivo</w:t>
            </w:r>
          </w:p>
        </w:tc>
        <w:tc>
          <w:tcPr>
            <w:tcW w:type="dxa" w:w="720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Fase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ZZ2_CONFOR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ZZ2_FORNEC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Copiar fornecedor do controle ZZ1.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ZZ2_CONFOR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ZZ2_LOJAFO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Copiar loja do controle ZZ1.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ZZ2_CONFOR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ZZ2_NOMEFO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Preencher nome do fornecedor.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ZZ2_DATA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ZZ2_DATA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Na inclusão, sugerir dDataBase.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ZZ2_HORA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ZZ2_HORA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Na inclusão, sugerir Time().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</w:tr>
    </w:tbl>
    <w:p/>
    <w:p>
      <w:pPr>
        <w:pStyle w:val="Heading1"/>
      </w:pPr>
      <w:r>
        <w:t>8. Rotinas ADVPL</w:t>
      </w:r>
    </w:p>
    <w:p>
      <w:pPr>
        <w:pStyle w:val="Heading2"/>
      </w:pPr>
      <w:r>
        <w:t>8.1 STTZZ1.PRW</w:t>
      </w:r>
    </w:p>
    <w:p>
      <w:r>
        <w:t>Rotina principal de manutenção da tabela ZZ1 utilizando mBrowse. Disponibiliza operações de pesquisa, visualização, inclusão, alteração e exclusão, além da opção Ocorrências.</w:t>
      </w:r>
    </w:p>
    <w:p>
      <w:r>
        <w:t>Legenda prevista para a validade do certificado:</w:t>
      </w:r>
    </w:p>
    <w:p>
      <w:pPr>
        <w:pStyle w:val="ListBullet"/>
      </w:pPr>
      <w:r>
        <w:t>Vermelho: ZZ1_VALCER &lt; dDataBase — certificado vencido.</w:t>
      </w:r>
    </w:p>
    <w:p>
      <w:pPr>
        <w:pStyle w:val="ListBullet"/>
      </w:pPr>
      <w:r>
        <w:t>Amarelo: certificado válido com vencimento em até 30 dias.</w:t>
      </w:r>
    </w:p>
    <w:p>
      <w:pPr>
        <w:pStyle w:val="ListBullet"/>
      </w:pPr>
      <w:r>
        <w:t>Verde: demais situações — certificado considerado OK.</w:t>
      </w:r>
    </w:p>
    <w:p>
      <w:r>
        <w:t>O botão Ocorrências deve abrir a rotina da ZZ2 filtrando os registros pelo código do controle selecionado na ZZ1.</w:t>
      </w:r>
    </w:p>
    <w:p>
      <w:pPr>
        <w:pStyle w:val="Heading2"/>
      </w:pPr>
      <w:r>
        <w:t>8.2 STTZZ2.PRW</w:t>
      </w:r>
    </w:p>
    <w:p>
      <w:r>
        <w:t>Rotina mBrowse para manutenção das ocorrências de fornecedor. A legenda compara o percentual de não conformidade da ocorrência com a tolerância cadastrada na ZZ1.</w:t>
      </w:r>
    </w:p>
    <w:p>
      <w:pPr>
        <w:pStyle w:val="Código"/>
        <w:spacing w:after="80"/>
      </w:pPr>
      <w:r>
        <w:t>% NC = (ZZ2_QTDNOK / (ZZ2_QTDOK + ZZ2_QTDNOK)) * 100</w:t>
      </w:r>
    </w:p>
    <w:p>
      <w:r>
        <w:t>Vermelho representa percentual acima da tolerância; verde representa ocorrência dentro da tolerância. A versão filtrada deve exibir apenas registros em que ZZ2_CONFOR corresponda ao controle ZZ1 selecionado.</w:t>
      </w:r>
    </w:p>
    <w:p>
      <w:r>
        <w:t>O material do projeto registra FilBrowse()/EndFilBrw() como alternativa indicada para envolver o mBrowse quando o filtro da versão vinculada não for respeitado pelo ambiente.</w:t>
      </w:r>
    </w:p>
    <w:p>
      <w:pPr>
        <w:pStyle w:val="Heading2"/>
      </w:pPr>
      <w:r>
        <w:t>8.3 STTZZLIB.PRW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Função</w:t>
            </w:r>
          </w:p>
        </w:tc>
        <w:tc>
          <w:tcPr>
            <w:tcW w:type="dxa" w:w="6768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Responsabilidade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NomeFornecedor(cFornec,cLoja)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Retornar o nome do fornecedor por POSICIONE na SA2.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NomeProduto(cCodPro)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Retornar a descrição do produto.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PercNaoConforme(nOk,nNok)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Calcular o percentual de itens não conformes, evitando divisão por zero.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CertificadoVencendo(dValCer)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Indicar se o certificado vence dentro de 30 dias.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GravarLogTCC(cFuncao,oErro)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Registrar informações técnicas de erro em log.</w:t>
            </w:r>
          </w:p>
        </w:tc>
      </w:tr>
    </w:tbl>
    <w:p/>
    <w:p>
      <w:pPr>
        <w:pStyle w:val="Heading1"/>
      </w:pPr>
      <w:r>
        <w:t>9. Consultas Padrão — SXB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Consulta</w:t>
            </w:r>
          </w:p>
        </w:tc>
        <w:tc>
          <w:tcPr>
            <w:tcW w:type="dxa" w:w="7920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Campos apresentados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Busca ZZ1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ZZ1_CODIGO, ZZ1_NOMEFO, ZZ1_VALCER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Busca SA2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A2_COD, A2_LOJA, A2_NOME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Busca SB1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B1_COD, B1_DESC, B1_UM</w:t>
            </w:r>
          </w:p>
        </w:tc>
      </w:tr>
    </w:tbl>
    <w:p/>
    <w:p>
      <w:pPr>
        <w:pStyle w:val="Heading1"/>
      </w:pPr>
      <w:r>
        <w:t>10. Menu do SIGACOM</w:t>
      </w:r>
    </w:p>
    <w:p>
      <w:pPr>
        <w:pStyle w:val="Código"/>
        <w:spacing w:after="80"/>
      </w:pPr>
      <w:r>
        <w:t>Cadastros</w:t>
        <w:br/>
        <w:t>└── Controle ISO 9001</w:t>
        <w:br/>
        <w:t xml:space="preserve">    ├── Controle de Fornecimento (ZZ1) → USER FUNCTION STTZZ1</w:t>
        <w:br/>
        <w:t xml:space="preserve">    └── Ocorrências de Fornecedores (ZZ2) → USER FUNCTION STTZZ2</w:t>
      </w:r>
    </w:p>
    <w:p>
      <w:pPr>
        <w:pStyle w:val="Heading1"/>
      </w:pPr>
      <w:r>
        <w:t>11. Tratamento de Erros</w:t>
      </w:r>
    </w:p>
    <w:p>
      <w:r>
        <w:t>A especificação determina que operações de banco de dados sejam protegidas por BEGIN SEQUENCE, com mensagem amigável ao usuário, registro técnico por GravarLogTCC() e rollback quando a operação estiver dentro de transação e houver necessidade de desfazer a gravação.</w:t>
      </w:r>
    </w:p>
    <w:p>
      <w:r>
        <w:t>A biblioteca centraliza o registro do log para reduzir duplicação de código e facilitar o diagnóstico.</w:t>
      </w:r>
    </w:p>
    <w:p>
      <w:pPr>
        <w:pStyle w:val="Heading1"/>
      </w:pPr>
      <w:r>
        <w:t>12. Estrutura de Entrega</w:t>
      </w:r>
    </w:p>
    <w:p>
      <w:pPr>
        <w:pStyle w:val="Código"/>
        <w:spacing w:after="80"/>
      </w:pPr>
      <w:r>
        <w:t>TCC/</w:t>
        <w:br/>
        <w:t>├── Dados-e-Dicionario/</w:t>
        <w:br/>
        <w:t>│   ├── sa2990.dbf</w:t>
        <w:br/>
        <w:t>│   ├── sb1990.dbf</w:t>
        <w:br/>
        <w:t>│   ├── sigacom.xnu</w:t>
        <w:br/>
        <w:t>│   ├── six990.dbf</w:t>
        <w:br/>
        <w:t>│   ├── sx2990.dbf</w:t>
        <w:br/>
        <w:t>│   ├── sx3990.dbf</w:t>
        <w:br/>
        <w:t>│   ├── sx7990.dbf</w:t>
        <w:br/>
        <w:t>│   ├── sxb990.dbf</w:t>
        <w:br/>
        <w:t>│   ├── zz1990.dbf</w:t>
        <w:br/>
        <w:t>│   └── zz2990.dbf</w:t>
        <w:br/>
        <w:t>├── TCC.PRJ</w:t>
        <w:br/>
        <w:t>├── STTZZ1.PRW</w:t>
        <w:br/>
        <w:t>├── STTZZ2.PRW</w:t>
        <w:br/>
        <w:t>├── STTZZLIB.PRW</w:t>
        <w:br/>
        <w:t>└── TCC-Documentacao.docx</w:t>
      </w:r>
    </w:p>
    <w:p>
      <w:pPr>
        <w:pStyle w:val="Heading1"/>
      </w:pPr>
      <w:r>
        <w:t>13. Procedimento de Instalação</w:t>
      </w:r>
    </w:p>
    <w:p>
      <w:r>
        <w:t>1. Realizar backup do ambiente e do dicionário antes da implantação.</w:t>
      </w:r>
    </w:p>
    <w:p>
      <w:r>
        <w:t>2. Disponibilizar/importar as definições das tabelas ZZ1 e ZZ2, seus campos, índices, validações, gatilhos e consultas padrão.</w:t>
      </w:r>
    </w:p>
    <w:p>
      <w:r>
        <w:t>3. Validar a criação física das tabelas e a consistência dos índices.</w:t>
      </w:r>
    </w:p>
    <w:p>
      <w:r>
        <w:t>4. Disponibilizar os fontes STTZZ1.PRW, STTZZ2.PRW e STTZZLIB.PRW no projeto.</w:t>
      </w:r>
    </w:p>
    <w:p>
      <w:r>
        <w:t>5. Compilar os fontes no repositório correspondente ao ambiente.</w:t>
      </w:r>
    </w:p>
    <w:p>
      <w:r>
        <w:t>6. Atualizar o menu do SIGACOM com as opções Controle de Fornecimento e Ocorrências de Fornecedores.</w:t>
      </w:r>
    </w:p>
    <w:p>
      <w:r>
        <w:t>7. Reiniciar a sessão do Protheus quando necessário para recarregar menu/dicionário.</w:t>
      </w:r>
    </w:p>
    <w:p>
      <w:r>
        <w:t>8. Executar testes funcionais com fornecedores e produtos previamente cadastrados.</w:t>
      </w:r>
    </w:p>
    <w:p>
      <w:pPr>
        <w:pStyle w:val="Heading1"/>
      </w:pPr>
      <w:r>
        <w:t>14. Roteiro de Testes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Teste</w:t>
            </w:r>
          </w:p>
        </w:tc>
        <w:tc>
          <w:tcPr>
            <w:tcW w:type="dxa" w:w="6768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7"/>
              </w:rPr>
              <w:t>Resultado esperado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Incluir ZZ1 com fornecedor válido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Registro aceito e dados relacionados preenchidos conforme configuração.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Informar fornecedor inexistente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Sistema deve impedir a gravação/avanço conforme validação.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Informar tolerância fora de 0–100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Sistema deve rejeitar o valor.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Informar validade inferior à data-base na inclusão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Sistema deve rejeitar a data.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Incluir ZZ2 vinculada à ZZ1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Controle, fornecedor e loja devem manter o vínculo esperado.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Informar produto inexistente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Sistema deve rejeitar o produto.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Informar data futura na ZZ2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Sistema deve rejeitar a ocorrência.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Calcular percentual NC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Percentual deve usar QTDNOK/(QTDOK+QTDNOK)*100.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Acionar Ocorrências na ZZ1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Abrir ZZ2 apresentando somente registros do controle selecionado.</w:t>
            </w:r>
          </w:p>
        </w:tc>
      </w:tr>
    </w:tbl>
    <w:p/>
    <w:p>
      <w:pPr>
        <w:pStyle w:val="Heading1"/>
      </w:pPr>
      <w:r>
        <w:t>15. Evidências de Homologação</w:t>
      </w:r>
    </w:p>
    <w:p>
      <w:r>
        <w:t>Anexar nesta seção, na versão final entregue, os prints do Configurador e das telas executadas no ambiente:</w:t>
      </w:r>
    </w:p>
    <w:p>
      <w:r>
        <w:t>□ Estrutura e índices da ZZ1.</w:t>
      </w:r>
    </w:p>
    <w:p>
      <w:r>
        <w:t>□ Estrutura e índices da ZZ2.</w:t>
      </w:r>
    </w:p>
    <w:p>
      <w:r>
        <w:t>□ Validações configuradas no SX3.</w:t>
      </w:r>
    </w:p>
    <w:p>
      <w:r>
        <w:t>□ Gatilhos configurados no SX7.</w:t>
      </w:r>
    </w:p>
    <w:p>
      <w:r>
        <w:t>□ Consultas padrão SXB.</w:t>
      </w:r>
    </w:p>
    <w:p>
      <w:r>
        <w:t>□ Menu Controle ISO 9001 no SIGACOM.</w:t>
      </w:r>
    </w:p>
    <w:p>
      <w:r>
        <w:t>□ mBrowse da ZZ1 em funcionamento.</w:t>
      </w:r>
    </w:p>
    <w:p>
      <w:r>
        <w:t>□ Tela de inclusão/alteração da ZZ1.</w:t>
      </w:r>
    </w:p>
    <w:p>
      <w:r>
        <w:t>□ mBrowse da ZZ2 em funcionamento.</w:t>
      </w:r>
    </w:p>
    <w:p>
      <w:r>
        <w:t>□ Tela de inclusão/alteração da ZZ2.</w:t>
      </w:r>
    </w:p>
    <w:p>
      <w:r>
        <w:t>□ Filtro de ocorrências acionado a partir da ZZ1.</w:t>
      </w:r>
    </w:p>
    <w:p>
      <w:pPr>
        <w:pStyle w:val="Heading1"/>
      </w:pPr>
      <w:r>
        <w:t>16. Pontos de Atenção</w:t>
      </w:r>
    </w:p>
    <w:p>
      <w:pPr>
        <w:pStyle w:val="ListBullet"/>
      </w:pPr>
      <w:r>
        <w:t>Os nomes físicos dos campos devem ser usados exatamente como definidos no SX3, principalmente ZZ1_LOJAFO e ZZ2_LOJAFO.</w:t>
      </w:r>
    </w:p>
    <w:p>
      <w:pPr>
        <w:pStyle w:val="ListBullet"/>
      </w:pPr>
      <w:r>
        <w:t>Campos referenciados no quarto parâmetro de POSICIONE devem ser informados como texto, por exemplo "A2_NOME".</w:t>
      </w:r>
    </w:p>
    <w:p>
      <w:pPr>
        <w:pStyle w:val="ListBullet"/>
      </w:pPr>
      <w:r>
        <w:t>O formato X3_PICTURE dos campos numéricos deve ser configurado para permitir a digitação conforme tamanho e decimais.</w:t>
      </w:r>
    </w:p>
    <w:p>
      <w:pPr>
        <w:pStyle w:val="ListBullet"/>
      </w:pPr>
      <w:r>
        <w:t>As regras de legenda do ambiente utilizam BR_VERMELHO, BR_AMARELO e BR_VERDE conforme a especificação fornecida.</w:t>
      </w:r>
    </w:p>
    <w:p>
      <w:pPr>
        <w:pStyle w:val="ListBullet"/>
      </w:pPr>
      <w:r>
        <w:t>O vínculo entre ZZ1 e ZZ2 deve preservar a integridade do código de controle.</w:t>
      </w:r>
    </w:p>
    <w:p>
      <w:pPr>
        <w:pStyle w:val="Heading1"/>
      </w:pPr>
      <w:r>
        <w:t>17. Critérios de Aceite</w:t>
      </w:r>
    </w:p>
    <w:p>
      <w:r>
        <w:t>A entrega pode ser considerada tecnicamente homologada quando as tabelas e índices estiverem disponíveis, as validações impedirem dados inválidos, os gatilhos preencherem os campos previstos, as rotinas ZZ1 e ZZ2 executarem as operações de manutenção, o vínculo ZZ1→ZZ2 funcionar e o acesso pelo SIGACOM estiver disponível.</w:t>
      </w:r>
    </w:p>
    <w:p>
      <w:pPr>
        <w:pStyle w:val="Heading1"/>
      </w:pPr>
      <w:r>
        <w:t>18. Conclusão</w:t>
      </w:r>
    </w:p>
    <w:p>
      <w:r>
        <w:t>A solução proposta estrutura um controle simples de qualidade de fornecedores dentro do Protheus, integrando dados customizados aos cadastros padrão SA2 e SB1. O projeto aplica conceitos de dicionário de dados, índices, validações, gatilhos, mBrowse, funções ADVPL reutilizáveis e tratamento de erros.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TCC Harbour/ADVPL — Controle ISO 9001 — Documentação Técnica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">
    <w:name w:val="Código"/>
    <w:rPr>
      <w:rFonts w:ascii="Courier New" w:hAnsi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