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动作关系盲标填写指南</w:t>
      </w:r>
    </w:p>
    <w:p>
      <w:r>
        <w:t>适用于第二位独立标注员。请对同一批 30 段视频逐条看完整段，再填写页面；不要查看第一位标注者的答案、旧标签、模型输出或选样理由。本手册说明填写方法，不给任何编号视频预设答案。</w:t>
      </w:r>
    </w:p>
    <w:p>
      <w:r>
        <w:rPr>
          <w:b/>
        </w:rPr>
        <w:t xml:space="preserve">标注页面  </w:t>
      </w:r>
      <w:r>
        <w:t>入口仅在已建立本机隧道的电脑上可用：</w:t>
      </w:r>
    </w:p>
    <w:p>
      <w:r>
        <w:t>http://127.0.0.1:18770/</w:t>
      </w:r>
    </w:p>
    <w:p>
      <w:r>
        <w:t>当前规则为潜在动作关系合同 v1 的待验证版本。每个判断以视频中可观察的即时目标为准；看不清就写“看不清”，不要靠常识补全画面。</w:t>
      </w:r>
    </w:p>
    <w:p>
      <w:r>
        <w:t>本批 30 条采用统一的标记偏移口径：如果标记处是空白，但后面清楚出现新目标，就依据这个可见的新目标选关系，同时把边界秒数填在新目标实际开始处。两位标注员均使用这条口径。</w:t>
      </w:r>
    </w:p>
    <w:p>
      <w:pPr>
        <w:pStyle w:val="Heading1"/>
      </w:pPr>
      <w:r>
        <w:t>先看视频再判断</w:t>
      </w:r>
    </w:p>
    <w:p>
      <w:pPr>
        <w:pStyle w:val="ListBullet"/>
      </w:pPr>
      <w:r>
        <w:t>先播放完整片段，再按“跳到标记处”查看前后画面。1x 和 2x 只改变播放速度。标记处是查找线索的起点，不保证就是实际变化帧。</w:t>
      </w:r>
    </w:p>
    <w:p>
      <w:pPr>
        <w:pStyle w:val="ListBullet"/>
      </w:pPr>
      <w:r>
        <w:t>问自己：人现在想直接完成什么结果？别只看手势、物品名称或动作方向。一个取出、使用、放回的完整过程可能仍是一件事。</w:t>
      </w:r>
    </w:p>
    <w:p>
      <w:pPr>
        <w:pStyle w:val="ListBullet"/>
      </w:pPr>
      <w:r>
        <w:t>松手、换手、短暂停顿、重新抓住、反向摆动都只是线索；它们本身不证明前一件事已经完成。</w:t>
      </w:r>
    </w:p>
    <w:p>
      <w:pPr>
        <w:pStyle w:val="Heading1"/>
      </w:pPr>
      <w:r>
        <w:t>第一步 选择标记处的关系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139"/>
            <w:shd w:fill="3D47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页面选项</w:t>
            </w:r>
          </w:p>
        </w:tc>
        <w:tc>
          <w:tcPr>
            <w:tcW w:type="dxa" w:w="6797"/>
            <w:shd w:fill="3D47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什么时候选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继续同一件事</w:t>
            </w:r>
          </w:p>
        </w:tc>
        <w:tc>
          <w:tcPr>
            <w:tcW w:type="dxa" w:w="67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即时目标没变，上一次还没明确结束；停顿、反复动作或重新抓握仍可能在同一次内。</w:t>
            </w:r>
          </w:p>
        </w:tc>
      </w:tr>
      <w:tr>
        <w:trPr>
          <w:cantSplit/>
        </w:trPr>
        <w:tc>
          <w:tcPr>
            <w:tcW w:type="dxa" w:w="3139"/>
            <w:shd w:fill="F4F6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同一种事 重新做一次</w:t>
            </w:r>
          </w:p>
        </w:tc>
        <w:tc>
          <w:tcPr>
            <w:tcW w:type="dxa" w:w="6797"/>
            <w:shd w:fill="F4F6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上一次已可见地完成、放弃或重置，随后开始等价的另一轮目标。不是每次手动一下就新建一次。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换了另一种事</w:t>
            </w:r>
          </w:p>
        </w:tc>
        <w:tc>
          <w:tcPr>
            <w:tcW w:type="dxa" w:w="67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相邻两段追求的即时结果不同。即使一直握着同一物品，也可能换目标。</w:t>
            </w:r>
          </w:p>
        </w:tc>
      </w:tr>
      <w:tr>
        <w:trPr>
          <w:cantSplit/>
        </w:trPr>
        <w:tc>
          <w:tcPr>
            <w:tcW w:type="dxa" w:w="3139"/>
            <w:shd w:fill="F4F6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确定开始新一段 但看不清是不是同一种事</w:t>
            </w:r>
          </w:p>
        </w:tc>
        <w:tc>
          <w:tcPr>
            <w:tcW w:type="dxa" w:w="6797"/>
            <w:shd w:fill="F4F6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能看出新的一段开始，却看不清前后目标是否等价。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看不清有没有换</w:t>
            </w:r>
          </w:p>
        </w:tc>
        <w:tc>
          <w:tcPr>
            <w:tcW w:type="dxa" w:w="67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连是否发生了新的一段都无法从视频建立；这是弃权，不是“继续”。</w:t>
            </w:r>
          </w:p>
        </w:tc>
      </w:tr>
      <w:tr>
        <w:trPr>
          <w:cantSplit/>
        </w:trPr>
        <w:tc>
          <w:tcPr>
            <w:tcW w:type="dxa" w:w="3139"/>
            <w:shd w:fill="F4F6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只看到结束</w:t>
            </w:r>
          </w:p>
        </w:tc>
        <w:tc>
          <w:tcPr>
            <w:tcW w:type="dxa" w:w="6797"/>
            <w:shd w:fill="F4F6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前一件事已结束，完整可见上下文里仍没有后续新目标；这是结束记号，不是 A 到 B 的边。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视频开始时已在做 或结束时仍在做</w:t>
            </w:r>
          </w:p>
        </w:tc>
        <w:tc>
          <w:tcPr>
            <w:tcW w:type="dxa" w:w="67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只看到录制的一侧，不能据此补出片段外的开始或结束。</w:t>
            </w:r>
          </w:p>
        </w:tc>
      </w:tr>
    </w:tbl>
    <w:p>
      <w:pPr>
        <w:spacing w:after="0"/>
      </w:pPr>
    </w:p>
    <w:p>
      <w:pPr>
        <w:pStyle w:val="Heading1"/>
      </w:pPr>
      <w:r>
        <w:t>第二步 填写必须确认的项目</w:t>
      </w:r>
    </w:p>
    <w:p>
      <w:r>
        <w:t>页面只会显示与你的主关系有关的问题。出现的问题必须回答；没有出现的技术字段由页面自动生成。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139"/>
            <w:shd w:fill="3D47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页面问题</w:t>
            </w:r>
          </w:p>
        </w:tc>
        <w:tc>
          <w:tcPr>
            <w:tcW w:type="dxa" w:w="6797"/>
            <w:shd w:fill="3D47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填写原则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前一件事后来怎样了</w:t>
            </w:r>
          </w:p>
        </w:tc>
        <w:tc>
          <w:tcPr>
            <w:tcW w:type="dxa" w:w="67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选“已经做完”要看到完成；“已停止或放弃”要看到中止或重置；“暂时停下”保留原来的未完成实例；“两件事同时在做”表示前一件仍活跃；不确定就选“看不清”。</w:t>
            </w:r>
          </w:p>
        </w:tc>
      </w:tr>
      <w:tr>
        <w:trPr>
          <w:cantSplit/>
        </w:trPr>
        <w:tc>
          <w:tcPr>
            <w:tcW w:type="dxa" w:w="3139"/>
            <w:shd w:fill="F4F6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回到更早做过的那种事吗</w:t>
            </w:r>
          </w:p>
        </w:tc>
        <w:tc>
          <w:tcPr>
            <w:tcW w:type="dxa" w:w="6797"/>
            <w:shd w:fill="F4F6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只看当前目标是否在更早画面中出现过同一种结果和物品角色。若 B 是第一次出现，选“不是”；若先前做过 B，后来做 A，此刻又做 B，就选“是”。缠/解、装/取的交替也按此规则；反向操作本身不自动算返回。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回来后接着做还是重新开始</w:t>
            </w:r>
          </w:p>
        </w:tc>
        <w:tc>
          <w:tcPr>
            <w:tcW w:type="dxa" w:w="67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更早的 A 未完成、暂停后继续，选“接着做”；更早的 A 已完成、放弃或重置，选“全新的一次”；前因看不清，选“看不清”。即使接着旧 A，B→A 的主关系仍是“换了另一种事”。</w:t>
            </w:r>
          </w:p>
        </w:tc>
      </w:tr>
      <w:tr>
        <w:trPr>
          <w:cantSplit/>
        </w:trPr>
        <w:tc>
          <w:tcPr>
            <w:tcW w:type="dxa" w:w="3139"/>
            <w:shd w:fill="F4F6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变化发生在第几秒</w:t>
            </w:r>
          </w:p>
        </w:tc>
        <w:tc>
          <w:tcPr>
            <w:tcW w:type="dxa" w:w="6797"/>
            <w:shd w:fill="F4F6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填实际可见变化的片段秒数，不照抄标记处。明确时只填开始；渐变或看不准时填起止范围。点“取当前时间”可把播放器秒数写入对应框。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这个变化是怎样发生的</w:t>
            </w:r>
          </w:p>
        </w:tc>
        <w:tc>
          <w:tcPr>
            <w:tcW w:type="dxa" w:w="67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选一下子、慢慢、看不清。两件独立目标同时活跃时，先在上一题选“两件事同时在做”；页面自动记录重叠。</w:t>
            </w:r>
          </w:p>
        </w:tc>
      </w:tr>
      <w:tr>
        <w:trPr>
          <w:cantSplit/>
        </w:trPr>
        <w:tc>
          <w:tcPr>
            <w:tcW w:type="dxa" w:w="3139"/>
            <w:shd w:fill="F4F6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关键画面看得清吗</w:t>
            </w:r>
          </w:p>
        </w:tc>
        <w:tc>
          <w:tcPr>
            <w:tcW w:type="dxa" w:w="6797"/>
            <w:shd w:fill="F4F6F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清楚、部分可见、关键画面未拍到分别选对应项。不要因为自动检测没结果就选“没拍到”。</w:t>
            </w:r>
          </w:p>
        </w:tc>
      </w:tr>
      <w:tr>
        <w:trPr>
          <w:cantSplit/>
        </w:trPr>
        <w:tc>
          <w:tcPr>
            <w:tcW w:type="dxa" w:w="3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可选线索</w:t>
            </w:r>
          </w:p>
        </w:tc>
        <w:tc>
          <w:tcPr>
            <w:tcW w:type="dxa" w:w="67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125" w:type="dxa"/>
              <w:bottom w:w="95" w:type="dxa"/>
              <w:end w:w="125" w:type="dxa"/>
            </w:tcMar>
          </w:tcPr>
          <w:p>
            <w:pPr>
              <w:spacing w:after="0" w:line="278" w:lineRule="auto"/>
            </w:pPr>
            <w:r>
              <w:rPr>
                <w:rFonts w:ascii="Arial Unicode MS" w:hAnsi="Arial Unicode MS" w:eastAsia="Arial Unicode MS"/>
                <w:sz w:val="19"/>
              </w:rPr>
              <w:t>接触与松手可记录，但不要求填写，也不能单独决定关系。</w:t>
            </w:r>
          </w:p>
        </w:tc>
      </w:tr>
    </w:tbl>
    <w:p>
      <w:pPr>
        <w:spacing w:after="0"/>
      </w:pPr>
    </w:p>
    <w:p>
      <w:pPr>
        <w:pStyle w:val="Heading1"/>
      </w:pPr>
      <w:r>
        <w:t>第三步 填写四个空</w:t>
      </w:r>
    </w:p>
    <w:p>
      <w:r>
        <w:t>页面会把四个答案合成一句证据。每空都写实际可见或明确缺失的内容，不写“无”来代替说明。</w:t>
      </w:r>
    </w:p>
    <w:p>
      <w:pPr>
        <w:pStyle w:val="ListBullet"/>
      </w:pPr>
      <w:r>
        <w:rPr>
          <w:b/>
        </w:rPr>
        <w:t xml:space="preserve">之前在做什么  </w:t>
      </w:r>
      <w:r>
        <w:t>写标记前正在追求的即时结果；不是整段家务的大任务。</w:t>
      </w:r>
    </w:p>
    <w:p>
      <w:pPr>
        <w:pStyle w:val="ListBullet"/>
      </w:pPr>
      <w:r>
        <w:rPr>
          <w:b/>
        </w:rPr>
        <w:t xml:space="preserve">之后在做什么  </w:t>
      </w:r>
      <w:r>
        <w:t>写标记后实际可见的即时结果。若此时尚无新目标，就写“尚未开始新目标”；若画面遮挡，就写“后续目标看不清”。</w:t>
      </w:r>
    </w:p>
    <w:p>
      <w:pPr>
        <w:pStyle w:val="ListBullet"/>
      </w:pPr>
      <w:r>
        <w:rPr>
          <w:b/>
        </w:rPr>
        <w:t xml:space="preserve">关键画面  </w:t>
      </w:r>
      <w:r>
        <w:t>写可指认的画面：目标完成、手转向另一目标、两事同时活跃，或关键部分离开镜头。不要只写“伸手”“松手”“无”。</w:t>
      </w:r>
    </w:p>
    <w:p>
      <w:pPr>
        <w:pStyle w:val="ListBullet"/>
      </w:pPr>
      <w:r>
        <w:rPr>
          <w:b/>
        </w:rPr>
        <w:t xml:space="preserve">最终判断  </w:t>
      </w:r>
      <w:r>
        <w:t>用与第一步一致的中文关系，例如“继续同一件事”“换了另一种事”“只看到结束”。不确定时说明是类型不清，还是连边界都不清。</w:t>
      </w:r>
    </w:p>
    <w:p>
      <w:r>
        <w:t>完整句示例：之前在拧紧瓶盖；之后在拧松瓶盖；因为看到盖子已拧紧，随后开始以打开为目标反向旋转，所以我判断换了另一种事。</w:t>
      </w:r>
    </w:p>
    <w:p>
      <w:pPr>
        <w:pStyle w:val="Heading1"/>
      </w:pPr>
      <w:r>
        <w:t>常见情形的条件规则</w:t>
      </w:r>
    </w:p>
    <w:p>
      <w:r>
        <w:t>以下是判断条件，不是对某条编号视频的标准答案。若实际视频没有显示条件所需的完成、暂停或新目标，应按可见证据选择“不确定”，不能套用物品名称。</w:t>
      </w:r>
    </w:p>
    <w:p>
      <w:pPr>
        <w:pStyle w:val="Heading2"/>
      </w:pPr>
      <w:r>
        <w:t>取出使用再放回</w:t>
      </w:r>
    </w:p>
    <w:p>
      <w:r>
        <w:t>拿起调料瓶、完成一次撒料、放回瓶子，如果各步共同服务于“完成这次加料”，通常是继续同一实例。取出下水道塞子、清洗、复位，如果共同服务于“一次清洗并复位”，也通常是继续同一实例。只有第一轮已经明确完成，后来又开始另一轮等价加料或清洗，才选“同一种事，重新做一次”。</w:t>
      </w:r>
    </w:p>
    <w:p>
      <w:pPr>
        <w:pStyle w:val="Heading2"/>
      </w:pPr>
      <w:r>
        <w:t>打散铁盒再垒好</w:t>
      </w:r>
    </w:p>
    <w:p>
      <w:r>
        <w:t>若打散只是为了重新整理，随后垒好是完成这次整理的必要步骤，可视为同一次。若“打散”本身已形成独立完成的目标，之后又开始以“垒好”为结果的新目标，选“换了另一种事”。不能仅凭铁盒最后恢复原状作答。</w:t>
      </w:r>
    </w:p>
    <w:p>
      <w:pPr>
        <w:pStyle w:val="Heading2"/>
      </w:pPr>
      <w:r>
        <w:t>取下和装上手机壳</w:t>
      </w:r>
    </w:p>
    <w:p>
      <w:r>
        <w:t>为了换壳、清洁或检查而取下，处理完再装回，若服务于同一个即时结果，可视为同一次。若取下手机壳已是独立完成的目标，之后才另起装壳目标，则在新目标开始处选“换了另一种事”。只有完成一轮装壳后，又启动等价的另一轮装壳，才可能是“同一种事，重新做一次”。</w:t>
      </w:r>
    </w:p>
    <w:p>
      <w:pPr>
        <w:pStyle w:val="Heading2"/>
      </w:pPr>
      <w:r>
        <w:t>缠线 解线和返回旧动作</w:t>
      </w:r>
    </w:p>
    <w:p>
      <w:r>
        <w:t>缠紧与解开通常追求不同结果，若各自是独立目标，在切换处选“换了另一种事”。但若解开只是同一次测量或整理的必要复位步骤，且没有独立完成的结果，可继续同一实例。判断“回到更早做过的那种事”，要看当前目标在更早画面中是否确实做过：若先解、后缠、现在又解，当前“解”就算返回；只看到第一次“缠→解”，不能仅凭反向就选返回。更早同类动作已完成则新建实例，若只是暂停后续做则恢复旧实例。</w:t>
      </w:r>
    </w:p>
    <w:p>
      <w:pPr>
        <w:pStyle w:val="Heading2"/>
      </w:pPr>
      <w:r>
        <w:t>标记处在两件事之间</w:t>
      </w:r>
    </w:p>
    <w:p>
      <w:r>
        <w:t>本批 30 条统一按后续最近的可见新目标判断：标记点在两件事之间的空白处，而后面清楚开始了不同的即时目标，就选“换了另一种事”；若前一轮已完成、后面开始的是等价目标，选“同一种事，重新做一次”。边界秒数填后面目标实际开始的时刻，不填空白中的标记秒数。四个填空里说明“标记处为空白，后续在某秒开始了什么”。</w:t>
      </w:r>
    </w:p>
    <w:p>
      <w:r>
        <w:t>只有前一件已可见地结束、完整上下文中仍没有后续新目标，才选“只看到结束”，并填前一件实际结束时间。若只是停顿，且后续仍追求同一个未完成结果，选“继续同一件事”。后面是否开始新目标也看不清时，选“看不清有没有换”，不要凭空白猜。</w:t>
      </w:r>
    </w:p>
    <w:p>
      <w:pPr>
        <w:pStyle w:val="Heading2"/>
      </w:pPr>
      <w:r>
        <w:t>两个目标同时进行</w:t>
      </w:r>
    </w:p>
    <w:p>
      <w:r>
        <w:t>若 A 尚在进行、B 又以独立目标开始，在“前一件事后来怎样了”选“两件事同时在做”，不要因为注意力转向 B 就把 A 说成完成。只有额外一只手帮助同一目标时，仍可能只是继续同一件事。</w:t>
      </w:r>
    </w:p>
    <w:p>
      <w:pPr>
        <w:pStyle w:val="Heading1"/>
      </w:pPr>
      <w:r>
        <w:t>提交前核对</w:t>
      </w:r>
    </w:p>
    <w:p>
      <w:pPr>
        <w:pStyle w:val="ListBullet"/>
      </w:pPr>
      <w:r>
        <w:t>看完整段视频；关系由即时结果和实例状态决定，不由松手、方向变化或物品恢复原状决定。</w:t>
      </w:r>
    </w:p>
    <w:p>
      <w:pPr>
        <w:pStyle w:val="ListBullet"/>
      </w:pPr>
      <w:r>
        <w:t>需要边界时间时，填写实际变化帧或不确定范围；返回旧动作必须有更早同类目标的画面依据。</w:t>
      </w:r>
    </w:p>
    <w:p>
      <w:pPr>
        <w:pStyle w:val="ListBullet"/>
      </w:pPr>
      <w:r>
        <w:t>四个空都具体、互相一致；看不清时写明缺失的是哪一段画面。</w:t>
      </w:r>
    </w:p>
    <w:p>
      <w:pPr>
        <w:pStyle w:val="ListBullet"/>
      </w:pPr>
      <w:r>
        <w:t>勾选“我已看完整段视频”，再点“提交本条”。未完成或页面无法表达时点“保存草稿”。</w:t>
      </w:r>
    </w:p>
    <w:p>
      <w:r>
        <w:t>第二位独立完成全部 30 条后，才与第一位结果比较并裁决分歧。在此之前不要交换逐条答案。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23" w:bottom="979" w:left="1123" w:header="518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/>
        <w:color w:val="000000"/>
        <w:sz w:val="16"/>
      </w:rPr>
      <w:t>动作关系盲标填写指南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5" w:lineRule="auto"/>
    </w:pPr>
    <w:rPr>
      <w:rFonts w:ascii="Arial Unicode MS" w:hAnsi="Arial Unicode MS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动作关系盲标填写指南</dc:title>
  <dc:subject>三十段视频独立标注操作说明</dc:subject>
  <dc:creator>动作关系评审项目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