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3060-1621846615933" w:id="1"/>
      <w:bookmarkEnd w:id="1"/>
    </w:p>
    <w:p>
      <w:pPr/>
      <w:bookmarkStart w:name="Uf0h-1651202744288" w:id="2"/>
      <w:bookmarkEnd w:id="2"/>
      <w:r>
        <w:drawing>
          <wp:inline distT="0" distR="0" distB="0" distL="0">
            <wp:extent cx="5267325" cy="2962871"/>
            <wp:docPr id="0" name="Drawing 0" descr="屏幕截图(162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屏幕截图(162)(1)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Bur-1651202744295" w:id="3"/>
      <w:bookmarkEnd w:id="3"/>
    </w:p>
    <w:p>
      <w:pPr/>
      <w:bookmarkStart w:name="VJWx-1651210971346" w:id="4"/>
      <w:bookmarkEnd w:id="4"/>
      <w:r>
        <w:drawing>
          <wp:inline distT="0" distR="0" distB="0" distL="0">
            <wp:extent cx="5267325" cy="2962871"/>
            <wp:docPr id="1" name="Drawing 1" descr="屏幕截图(163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截图(163)(1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3R9-1651210971359" w:id="5"/>
      <w:bookmarkEnd w:id="5"/>
      <w:r>
        <w:rPr>
          <w:color w:val="f33232"/>
          <w:sz w:val="28"/>
        </w:rPr>
        <w:t>注释：表字段可以与流字段名称不同，但类型要相同</w:t>
      </w:r>
    </w:p>
    <w:p>
      <w:pPr/>
      <w:bookmarkStart w:name="bdgc-1651211265547" w:id="6"/>
      <w:bookmarkEnd w:id="6"/>
    </w:p>
    <w:p>
      <w:pPr/>
      <w:bookmarkStart w:name="e4jJ-1651211451325" w:id="7"/>
      <w:bookmarkEnd w:id="7"/>
      <w:r>
        <w:drawing>
          <wp:inline distT="0" distR="0" distB="0" distL="0">
            <wp:extent cx="5267325" cy="2962871"/>
            <wp:docPr id="2" name="Drawing 2" descr="屏幕截图(164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截图(164)(1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Ljzv-1651211451341" w:id="8"/>
      <w:bookmarkEnd w:id="8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2023-10-04T12:14:09Z</dcterms:created>
  <dc:creator>Apache POI</dc:creator>
</cp:coreProperties>
</file>