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Análise de Demanda Setorial e Especialização no Mercado de TI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Fonte de Dados: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RAIS (Relação Anual de Informações Sociais) - Microdados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Responsável Técnico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Felipe Rangel, Márcio de Oliveira e Matheus Rosetti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4"/>
          <w:szCs w:val="24"/>
        </w:rPr>
      </w:pPr>
      <w:bookmarkStart w:colFirst="0" w:colLast="0" w:name="_f75wy941s6wg" w:id="0"/>
      <w:bookmarkEnd w:id="0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Estágio 1: ETL, Enriquecimento e Normalização Dimensional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(Anexo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base bruta da RAIS é composta majoritariamente por códigos categóricos (inteiros) que dificultam a leitura analítica direta. A primeira etapa do processamento consistiu na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desnormalização controlada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dos dados para enriquecimento semântico.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Técnica de Mapeamento (Mapping):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Utilizamos dicionários de "De-Para" via função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pd.map()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para traduzir variáveis de baixa cardinalidade, como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sexo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,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raca_cor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grau_instrucao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 Isso otimiza o processamento em memória comparado a múltiplos joins físicos.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Modelagem Dimensional (Star Schema Híbrido):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Para dimensões de alta cardinalidade ou que exigem filtros hierárquicos, aplicamos operações de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Left Join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com tabelas dimensionais auxiliares.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Dimensão Geográfica: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Enriquecimento via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id_municipio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para obtenção de nomes normalizados.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Dimensão Ocupacional (CBO):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Cruzamento com a tabela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profissoes-ti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para trazer descrições, famílias e subgrupos da CBO 2002.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Dimensão Jurídica: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Cruzamento com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id_natureza_juridica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para classificar as empresas contratantes.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i w:val="1"/>
          <w:iCs w:val="1"/>
          <w:color w:val="1f1f1f"/>
          <w:sz w:val="24"/>
          <w:szCs w:val="24"/>
        </w:rPr>
      </w:pPr>
      <w:bookmarkStart w:colFirst="0" w:colLast="0" w:name="_xtjfgtfd4g6t" w:id="1"/>
      <w:bookmarkEnd w:id="1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Estágio 2: EDA, Filtragem de Domínio e Engenharia de Atributos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Anexo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Após a normalização, aplicamos um filtro de escopo estrito para isolar o mercado de Tecnologia da Informação.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Filtragem por Família Ocupacional: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Foi definida uma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query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contendo as descrições de famílias CBO pertinentes ao estudo, incluindo "Diretores de TI", "Engenheiros de Computação", "Analistas de TI" e "Técnicos de Desenvolvimento", descartando ruídos de outras profissões.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Criação de Faixas Salariais (Binning):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Para facilitar a análise de distribuição de renda, aplicamos a discretização da variável contínua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valor_remuneracao_media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 Utilizamos o método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pd.cut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tendo como base o salário mínimo de referência (R$ 1.518,00), criando a variável categórica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faixa_salarial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4"/>
          <w:szCs w:val="24"/>
        </w:rPr>
      </w:pPr>
      <w:bookmarkStart w:colFirst="0" w:colLast="0" w:name="_t1czgz9eyres" w:id="2"/>
      <w:bookmarkEnd w:id="2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4. Estágio 3: Agregação e Otimização para Visualização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(Anexo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Para garantir a performance do Dashboard (Looker Studio) e evitar latência em tempo de execução, optou-se por não carregar os microdados brutos na camada de visualização. Em vez disso, criamos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Data Marts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agregados.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pipeline se ramifica em visões estratégicas consolidadas: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Visão por Natureza Jurídica: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Agrupamento dos dados por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ano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tamanho_estabelecimento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natureza_juridica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para contagem de frequência (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count_values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e cálculo de média salarial.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Visão Geográfica (UF):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Agrupamento por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sigla_uf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subsetor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para espacialização da demanda.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Essa estratégia reduziu a granularidade do nível "Vínculo Empregatício" para o nível "Setor/Região", reduzindo drasticamente o volume de linhas sem perda de valor analítico para as métricas macroeconômicas.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Perfeito. As imagens ilustram claramente o desafio estatístico que enfrentamos: o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desbalanceamento de classes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(histograma) e 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dispersão salarial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(heatmap).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i w:val="1"/>
          <w:iCs w:val="1"/>
          <w:color w:val="1f1f1f"/>
          <w:sz w:val="24"/>
          <w:szCs w:val="24"/>
        </w:rPr>
      </w:pPr>
      <w:bookmarkStart w:colFirst="0" w:colLast="0" w:name="_kw9wrs1agouc" w:id="3"/>
      <w:bookmarkEnd w:id="3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5. Engenharia Analítica e Definição de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Após a etapa de ETL, a base de dados apresentou desafios estatísticos inerentes à natureza do mercado brasileiro, exigindo tratamentos específicos antes da aplicação das métricas de negócio.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</w:rPr>
      </w:pPr>
      <w:bookmarkStart w:colFirst="0" w:colLast="0" w:name="_vvjsvwlq42yu" w:id="4"/>
      <w:bookmarkEnd w:id="4"/>
      <w:r w:rsidDel="00000000" w:rsidR="00000000" w:rsidRPr="00000000">
        <w:rPr>
          <w:b w:val="1"/>
          <w:bCs w:val="1"/>
          <w:color w:val="1f1f1f"/>
          <w:rtl w:val="0"/>
        </w:rPr>
        <w:t xml:space="preserve">5.1. Mitigação de Viés e Desbalanceamento de Classes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análise exploratória revelou um severo desbalanceamento na distribuição de trabalhadores por subsetor do IBGE (vide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Anexo 5 - Histograma de Frequência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). O subsetor "Comércio e administração de imóveis/Serviços Técnicos" apresentou volume aproximadamente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5x superior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ao segundo maior cluster.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Risco Identificado: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agregação simples dos dados geraria um viés (bias) onde as tendências deste grande setor mascarariam o comportamento de nichos específicos de TI (como Indústria de Transformação ou Financeiro).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Estratégia de Correção: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Implementamos uma análise estratificada combinada com a técnica de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Binning Salarial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(vide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Anexo 6 - Heatmap de Distribuição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). Ao segmentar a remuneração em faixas discretas (ex: "10 a 15 Salários Mínimos"), conseguimos normalizar a comparação entre setores heterogêneos, permitindo identificar onde estão concentrados os especialistas seniores, independentemente do volume total do setor.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</w:rPr>
      </w:pPr>
      <w:bookmarkStart w:colFirst="0" w:colLast="0" w:name="_or5nkbw0yhcv" w:id="5"/>
      <w:bookmarkEnd w:id="5"/>
      <w:r w:rsidDel="00000000" w:rsidR="00000000" w:rsidRPr="00000000">
        <w:rPr>
          <w:b w:val="1"/>
          <w:bCs w:val="1"/>
          <w:color w:val="1f1f1f"/>
          <w:rtl w:val="0"/>
        </w:rPr>
        <w:t xml:space="preserve">5.2. Métrica 1: Saldo de Demanda Líquida (Net Demand)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Para mensurar a vitalidade do mercado além do "estoque" de profissionais, desenvolvemos o algoritmo de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Saldo de Vagas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</w:rPr>
        <w:drawing>
          <wp:inline distB="114300" distT="114300" distL="114300" distR="114300">
            <wp:extent cx="2200275" cy="11525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10733" l="23754" r="37874" t="9149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Lógica Vetorizada: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Diferente da contagem simples de ativos, esta métrica processa os vetores de admissão e desligamento mês a mês.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Aplicação: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Esta métrica permite isolar o "Turnover" (alta rotatividade) do "Crescimento Real" (novas posições abertas), sendo crucial para validar a hipótese de substituição de funções operacionais por cargos estratégicos.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i w:val="1"/>
          <w:iCs w:val="1"/>
          <w:color w:val="1f1f1f"/>
        </w:rPr>
      </w:pPr>
      <w:bookmarkStart w:colFirst="0" w:colLast="0" w:name="_jtd3a45xmr07" w:id="6"/>
      <w:bookmarkEnd w:id="6"/>
      <w:r w:rsidDel="00000000" w:rsidR="00000000" w:rsidRPr="00000000">
        <w:rPr>
          <w:b w:val="1"/>
          <w:bCs w:val="1"/>
          <w:color w:val="1f1f1f"/>
          <w:rtl w:val="0"/>
        </w:rPr>
        <w:t xml:space="preserve">5.3. Métrica 2: Valorização Salarial Real (CAGR)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(Anexo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Para avaliar a evolução da remuneração e a "premiumização" de carreiras específicas, optamos pelo cálculo do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CAGR (Compound Annual Growth Rate)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aplicado sobre a mediana salarial, conforme detalhado no diagrama lógico em anexo.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</w:rPr>
        <w:drawing>
          <wp:inline distB="114300" distT="114300" distL="114300" distR="114300">
            <wp:extent cx="3498019" cy="9727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8019" cy="97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Por que Mediana e não Média?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presença de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outliers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validados (C-Levels com salários &gt; R$ 200k) distorcia a média aritmética. A mediana provou-se uma medida de tendência central mais robusta para representar o "salário típico" do profissional de TI.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resultado percentual permitiu classificar as carreiras em quadrantes de "Em Desvalorização" (CAGR negativo, ex: DBA) vs. "Em Ascensão Acelerada" (CAGR &gt; IPCA, ex: Arquiteto de Soluções).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center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ANEXO - 1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-781049</wp:posOffset>
            </wp:positionH>
            <wp:positionV relativeFrom="paragraph">
              <wp:posOffset>397287</wp:posOffset>
            </wp:positionV>
            <wp:extent cx="7237048" cy="4302300"/>
            <wp:effectExtent b="0" l="0" r="0" t="0"/>
            <wp:wrapSquare wrapText="bothSides" distB="114300" distT="114300" distL="114300" distR="11430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5371" l="3068" r="4045" t="11389"/>
                    <a:stretch>
                      <a:fillRect/>
                    </a:stretch>
                  </pic:blipFill>
                  <pic:spPr>
                    <a:xfrm>
                      <a:off x="0" y="0"/>
                      <a:ext cx="7237048" cy="430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i w:val="1"/>
          <w:iCs w:val="1"/>
          <w:color w:val="1b1c1d"/>
          <w:sz w:val="24"/>
          <w:szCs w:val="24"/>
        </w:rPr>
      </w:pP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(ETL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center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ANEXO - 2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-801524</wp:posOffset>
            </wp:positionH>
            <wp:positionV relativeFrom="paragraph">
              <wp:posOffset>159925</wp:posOffset>
            </wp:positionV>
            <wp:extent cx="7338566" cy="4710113"/>
            <wp:effectExtent b="0" l="0" r="0" t="0"/>
            <wp:wrapSquare wrapText="bothSides" distB="114300" distT="114300" distL="114300" distR="11430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1613" l="2492" r="5482" t="2957"/>
                    <a:stretch>
                      <a:fillRect/>
                    </a:stretch>
                  </pic:blipFill>
                  <pic:spPr>
                    <a:xfrm>
                      <a:off x="0" y="0"/>
                      <a:ext cx="7338566" cy="4710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i w:val="1"/>
          <w:iCs w:val="1"/>
          <w:color w:val="1b1c1d"/>
          <w:sz w:val="24"/>
          <w:szCs w:val="24"/>
        </w:rPr>
      </w:pP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(ETL 2)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center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ANEXO - 3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304800</wp:posOffset>
            </wp:positionV>
            <wp:extent cx="7339013" cy="3182150"/>
            <wp:effectExtent b="0" l="0" r="0" t="0"/>
            <wp:wrapSquare wrapText="bothSides" distB="114300" distT="114300" distL="114300" distR="11430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6159" l="997" r="2658" t="2899"/>
                    <a:stretch>
                      <a:fillRect/>
                    </a:stretch>
                  </pic:blipFill>
                  <pic:spPr>
                    <a:xfrm>
                      <a:off x="0" y="0"/>
                      <a:ext cx="7339013" cy="318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i w:val="1"/>
          <w:iCs w:val="1"/>
          <w:color w:val="1b1c1d"/>
          <w:sz w:val="24"/>
          <w:szCs w:val="24"/>
        </w:rPr>
      </w:pP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(EDA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center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ANEXO - 4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80963</wp:posOffset>
            </wp:positionH>
            <wp:positionV relativeFrom="paragraph">
              <wp:posOffset>316325</wp:posOffset>
            </wp:positionV>
            <wp:extent cx="5653088" cy="7761018"/>
            <wp:effectExtent b="0" l="0" r="0" t="0"/>
            <wp:wrapSquare wrapText="bothSides" distB="114300" distT="114300" distL="114300" distR="11430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3209" l="5482" r="6478" t="3925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77610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i w:val="1"/>
          <w:iCs w:val="1"/>
          <w:color w:val="1b1c1d"/>
          <w:sz w:val="24"/>
          <w:szCs w:val="24"/>
        </w:rPr>
      </w:pP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(Fluxograma cálculo CAGR)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center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ANEXO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i w:val="1"/>
          <w:iCs w:val="1"/>
          <w:color w:val="1b1c1d"/>
          <w:sz w:val="24"/>
          <w:szCs w:val="24"/>
        </w:rPr>
      </w:pP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(Histograma distribuição de trabalhadores por subsetor IBGE)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-742949</wp:posOffset>
            </wp:positionH>
            <wp:positionV relativeFrom="paragraph">
              <wp:posOffset>201025</wp:posOffset>
            </wp:positionV>
            <wp:extent cx="7205451" cy="512345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5451" cy="5123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center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ANEXO - 6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i w:val="1"/>
          <w:iCs w:val="1"/>
          <w:color w:val="1b1c1d"/>
          <w:sz w:val="24"/>
          <w:szCs w:val="24"/>
        </w:rPr>
      </w:pP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(Heatmap entre subsetor ibge e faixas salariais)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-857249</wp:posOffset>
            </wp:positionH>
            <wp:positionV relativeFrom="paragraph">
              <wp:posOffset>114300</wp:posOffset>
            </wp:positionV>
            <wp:extent cx="7377483" cy="4776788"/>
            <wp:effectExtent b="0" l="0" r="0" t="0"/>
            <wp:wrapSquare wrapText="bothSides" distB="114300" distT="114300" distL="114300" distR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7483" cy="4776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