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sz w:val="30"/>
          <w:szCs w:val="30"/>
        </w:rPr>
        <w:t xml:space="preserve">Mira — Architecture Writeup</w:t>
      </w:r>
    </w:p>
    <w:p>
      <w:pPr>
        <w:spacing w:after="60"/>
      </w:pPr>
      <w:r>
        <w:rPr>
          <w:i/>
          <w:iCs/>
          <w:color w:val="555555"/>
          <w:sz w:val="17"/>
          <w:szCs w:val="17"/>
        </w:rPr>
        <w:t xml:space="preserve">AI-Powered Project Intelligence Assistant · Nexora Pvt. Ltd. · Q2 submission · Rosh</w:t>
      </w:r>
    </w:p>
    <w:p>
      <w:pPr>
        <w:pStyle w:val="Heading1"/>
        <w:spacing w:after="50" w:before="130"/>
      </w:pPr>
      <w:r>
        <w:t xml:space="preserve">Problem</w:t>
      </w:r>
    </w:p>
    <w:p>
      <w:pPr>
        <w:spacing w:after="60"/>
      </w:pPr>
      <w:r>
        <w:t xml:space="preserve">Nexora's few PM/TPMs run 3–5 concurrent client projects and build plans (3–4 hrs each), weekly status reports (1–2 hrs each) and risk assessments by hand, inconsistently, from each project's task board and files. Mira is an internal drafting assistant that generates these artefacts from a project's own description, timeline, risk register and task board, so a PM edits a grounded draft instead of starting from scratch. The governing risk is fabrication: an invented milestone, task status or risk is worse than no tool, so every agent is built to refuse rather than guess.</w:t>
      </w:r>
    </w:p>
    <w:p>
      <w:pPr>
        <w:pStyle w:val="Heading1"/>
        <w:spacing w:after="50" w:before="130"/>
      </w:pPr>
      <w:r>
        <w:t xml:space="preserve">Architecture</w:t>
      </w:r>
    </w:p>
    <w:p>
      <w:pPr>
        <w:spacing w:after="40"/>
        <w:jc w:val="center"/>
      </w:pPr>
      <w:r>
        <w:drawing>
          <wp:inline distT="0" distB="0" distL="0" distR="0">
            <wp:extent cx="3810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733675"/>
                    </a:xfrm>
                    <a:prstGeom prst="rect">
                      <a:avLst/>
                    </a:prstGeom>
                  </pic:spPr>
                </pic:pic>
              </a:graphicData>
            </a:graphic>
          </wp:inline>
        </w:drawing>
      </w:r>
    </w:p>
    <w:p>
      <w:pPr>
        <w:pStyle w:val="Heading1"/>
        <w:spacing w:after="50" w:before="130"/>
      </w:pPr>
      <w:r>
        <w:t xml:space="preserve">Tool Selection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7040"/>
      </w:tblGrid>
      <w:tr>
        <w:trPr>
          <w:tblHeader/>
        </w:trPr>
        <w:tc>
          <w:tcPr>
            <w:tcW w:type="dxa" w:w="1500"/>
            <w:shd w:fill="D9E2F3" w:val="clear"/>
            <w:tcMar>
              <w:top w:type="dxa" w:w="30"/>
              <w:left w:type="dxa" w:w="80"/>
              <w:bottom w:type="dxa" w:w="30"/>
              <w:right w:type="dxa" w:w="80"/>
            </w:tcMar>
          </w:tcPr>
          <w:p>
            <w:r>
              <w:rPr>
                <w:b/>
                <w:bCs/>
                <w:sz w:val="17"/>
                <w:szCs w:val="17"/>
              </w:rPr>
              <w:t xml:space="preserve">Category</w:t>
            </w:r>
          </w:p>
        </w:tc>
        <w:tc>
          <w:tcPr>
            <w:tcW w:type="dxa" w:w="1900"/>
            <w:shd w:fill="D9E2F3" w:val="clear"/>
            <w:tcMar>
              <w:top w:type="dxa" w:w="30"/>
              <w:left w:type="dxa" w:w="80"/>
              <w:bottom w:type="dxa" w:w="30"/>
              <w:right w:type="dxa" w:w="80"/>
            </w:tcMar>
          </w:tcPr>
          <w:p>
            <w:r>
              <w:rPr>
                <w:b/>
                <w:bCs/>
                <w:sz w:val="17"/>
                <w:szCs w:val="17"/>
              </w:rPr>
              <w:t xml:space="preserve">Choice</w:t>
            </w:r>
          </w:p>
        </w:tc>
        <w:tc>
          <w:tcPr>
            <w:tcW w:type="dxa" w:w="7040"/>
            <w:shd w:fill="D9E2F3" w:val="clear"/>
            <w:tcMar>
              <w:top w:type="dxa" w:w="30"/>
              <w:left w:type="dxa" w:w="80"/>
              <w:bottom w:type="dxa" w:w="30"/>
              <w:right w:type="dxa" w:w="80"/>
            </w:tcMar>
          </w:tcPr>
          <w:p>
            <w:r>
              <w:rPr>
                <w:b/>
                <w:bCs/>
                <w:sz w:val="17"/>
                <w:szCs w:val="17"/>
              </w:rPr>
              <w:t xml:space="preserve">Why</w:t>
            </w:r>
          </w:p>
        </w:tc>
      </w:tr>
      <w:tr>
        <w:tc>
          <w:tcPr>
            <w:tcW w:type="dxa" w:w="1500"/>
            <w:tcMar>
              <w:top w:type="dxa" w:w="30"/>
              <w:left w:type="dxa" w:w="80"/>
              <w:bottom w:type="dxa" w:w="30"/>
              <w:right w:type="dxa" w:w="80"/>
            </w:tcMar>
          </w:tcPr>
          <w:p>
            <w:r>
              <w:rPr>
                <w:b w:val="false"/>
                <w:bCs w:val="false"/>
                <w:sz w:val="17"/>
                <w:szCs w:val="17"/>
              </w:rPr>
              <w:t xml:space="preserve">Platform</w:t>
            </w:r>
          </w:p>
        </w:tc>
        <w:tc>
          <w:tcPr>
            <w:tcW w:type="dxa" w:w="1900"/>
            <w:tcMar>
              <w:top w:type="dxa" w:w="30"/>
              <w:left w:type="dxa" w:w="80"/>
              <w:bottom w:type="dxa" w:w="30"/>
              <w:right w:type="dxa" w:w="80"/>
            </w:tcMar>
          </w:tcPr>
          <w:p>
            <w:r>
              <w:rPr>
                <w:b w:val="false"/>
                <w:bCs w:val="false"/>
                <w:sz w:val="17"/>
                <w:szCs w:val="17"/>
              </w:rPr>
              <w:t xml:space="preserve">n8n</w:t>
            </w:r>
          </w:p>
        </w:tc>
        <w:tc>
          <w:tcPr>
            <w:tcW w:type="dxa" w:w="7040"/>
            <w:tcMar>
              <w:top w:type="dxa" w:w="30"/>
              <w:left w:type="dxa" w:w="80"/>
              <w:bottom w:type="dxa" w:w="30"/>
              <w:right w:type="dxa" w:w="80"/>
            </w:tcMar>
          </w:tcPr>
          <w:p>
            <w:r>
              <w:rPr>
                <w:b w:val="false"/>
                <w:bCs w:val="false"/>
                <w:sz w:val="17"/>
                <w:szCs w:val="17"/>
              </w:rPr>
              <w:t xml:space="preserve">Visual canvas meets the screenshot/JSON-export requirement; Code node runs counting and date logic outside the LLM.</w:t>
            </w:r>
          </w:p>
        </w:tc>
      </w:tr>
      <w:tr>
        <w:tc>
          <w:tcPr>
            <w:tcW w:type="dxa" w:w="1500"/>
            <w:tcMar>
              <w:top w:type="dxa" w:w="30"/>
              <w:left w:type="dxa" w:w="80"/>
              <w:bottom w:type="dxa" w:w="30"/>
              <w:right w:type="dxa" w:w="80"/>
            </w:tcMar>
          </w:tcPr>
          <w:p>
            <w:r>
              <w:rPr>
                <w:b w:val="false"/>
                <w:bCs w:val="false"/>
                <w:sz w:val="17"/>
                <w:szCs w:val="17"/>
              </w:rPr>
              <w:t xml:space="preserve">LLM</w:t>
            </w:r>
          </w:p>
        </w:tc>
        <w:tc>
          <w:tcPr>
            <w:tcW w:type="dxa" w:w="1900"/>
            <w:tcMar>
              <w:top w:type="dxa" w:w="30"/>
              <w:left w:type="dxa" w:w="80"/>
              <w:bottom w:type="dxa" w:w="30"/>
              <w:right w:type="dxa" w:w="80"/>
            </w:tcMar>
          </w:tcPr>
          <w:p>
            <w:r>
              <w:rPr>
                <w:b w:val="false"/>
                <w:bCs w:val="false"/>
                <w:sz w:val="17"/>
                <w:szCs w:val="17"/>
              </w:rPr>
              <w:t xml:space="preserve">gpt-4o-mini</w:t>
            </w:r>
          </w:p>
        </w:tc>
        <w:tc>
          <w:tcPr>
            <w:tcW w:type="dxa" w:w="7040"/>
            <w:tcMar>
              <w:top w:type="dxa" w:w="30"/>
              <w:left w:type="dxa" w:w="80"/>
              <w:bottom w:type="dxa" w:w="30"/>
              <w:right w:type="dxa" w:w="80"/>
            </w:tcMar>
          </w:tcPr>
          <w:p>
            <w:r>
              <w:rPr>
                <w:b w:val="false"/>
                <w:bCs w:val="false"/>
                <w:sz w:val="17"/>
                <w:szCs w:val="17"/>
              </w:rPr>
              <w:t xml:space="preserve">Work is extraction, classification and templated generation over small inputs; cheap, fast, the playbook's default.</w:t>
            </w:r>
          </w:p>
        </w:tc>
      </w:tr>
      <w:tr>
        <w:tc>
          <w:tcPr>
            <w:tcW w:type="dxa" w:w="1500"/>
            <w:tcMar>
              <w:top w:type="dxa" w:w="30"/>
              <w:left w:type="dxa" w:w="80"/>
              <w:bottom w:type="dxa" w:w="30"/>
              <w:right w:type="dxa" w:w="80"/>
            </w:tcMar>
          </w:tcPr>
          <w:p>
            <w:r>
              <w:rPr>
                <w:b w:val="false"/>
                <w:bCs w:val="false"/>
                <w:sz w:val="17"/>
                <w:szCs w:val="17"/>
              </w:rPr>
              <w:t xml:space="preserve">Ingestion</w:t>
            </w:r>
          </w:p>
        </w:tc>
        <w:tc>
          <w:tcPr>
            <w:tcW w:type="dxa" w:w="1900"/>
            <w:tcMar>
              <w:top w:type="dxa" w:w="30"/>
              <w:left w:type="dxa" w:w="80"/>
              <w:bottom w:type="dxa" w:w="30"/>
              <w:right w:type="dxa" w:w="80"/>
            </w:tcMar>
          </w:tcPr>
          <w:p>
            <w:r>
              <w:rPr>
                <w:b w:val="false"/>
                <w:bCs w:val="false"/>
                <w:sz w:val="17"/>
                <w:szCs w:val="17"/>
              </w:rPr>
              <w:t xml:space="preserve">n8n file/CSV nodes</w:t>
            </w:r>
          </w:p>
        </w:tc>
        <w:tc>
          <w:tcPr>
            <w:tcW w:type="dxa" w:w="7040"/>
            <w:tcMar>
              <w:top w:type="dxa" w:w="30"/>
              <w:left w:type="dxa" w:w="80"/>
              <w:bottom w:type="dxa" w:w="30"/>
              <w:right w:type="dxa" w:w="80"/>
            </w:tcMar>
          </w:tcPr>
          <w:p>
            <w:r>
              <w:rPr>
                <w:b w:val="false"/>
                <w:bCs w:val="false"/>
                <w:sz w:val="17"/>
                <w:szCs w:val="17"/>
              </w:rPr>
              <w:t xml:space="preserve">All inputs are local text/CSV; no OAuth removes the largest build risk.</w:t>
            </w:r>
          </w:p>
        </w:tc>
      </w:tr>
      <w:tr>
        <w:tc>
          <w:tcPr>
            <w:tcW w:type="dxa" w:w="1500"/>
            <w:tcMar>
              <w:top w:type="dxa" w:w="30"/>
              <w:left w:type="dxa" w:w="80"/>
              <w:bottom w:type="dxa" w:w="30"/>
              <w:right w:type="dxa" w:w="80"/>
            </w:tcMar>
          </w:tcPr>
          <w:p>
            <w:r>
              <w:rPr>
                <w:b w:val="false"/>
                <w:bCs w:val="false"/>
                <w:sz w:val="17"/>
                <w:szCs w:val="17"/>
              </w:rPr>
              <w:t xml:space="preserve">Observability</w:t>
            </w:r>
          </w:p>
        </w:tc>
        <w:tc>
          <w:tcPr>
            <w:tcW w:type="dxa" w:w="1900"/>
            <w:tcMar>
              <w:top w:type="dxa" w:w="30"/>
              <w:left w:type="dxa" w:w="80"/>
              <w:bottom w:type="dxa" w:w="30"/>
              <w:right w:type="dxa" w:w="80"/>
            </w:tcMar>
          </w:tcPr>
          <w:p>
            <w:r>
              <w:rPr>
                <w:b w:val="false"/>
                <w:bCs w:val="false"/>
                <w:sz w:val="17"/>
                <w:szCs w:val="17"/>
              </w:rPr>
              <w:t xml:space="preserve">Langfuse</w:t>
            </w:r>
          </w:p>
        </w:tc>
        <w:tc>
          <w:tcPr>
            <w:tcW w:type="dxa" w:w="7040"/>
            <w:tcMar>
              <w:top w:type="dxa" w:w="30"/>
              <w:left w:type="dxa" w:w="80"/>
              <w:bottom w:type="dxa" w:w="30"/>
              <w:right w:type="dxa" w:w="80"/>
            </w:tcMar>
          </w:tcPr>
          <w:p>
            <w:r>
              <w:rPr>
                <w:b w:val="false"/>
                <w:bCs w:val="false"/>
                <w:sz w:val="17"/>
                <w:szCs w:val="17"/>
              </w:rPr>
              <w:t xml:space="preserve">Per-agent input/output visibility; free tier; all 5 LLM components traced.</w:t>
            </w:r>
          </w:p>
        </w:tc>
      </w:tr>
      <w:tr>
        <w:tc>
          <w:tcPr>
            <w:tcW w:type="dxa" w:w="1500"/>
            <w:tcMar>
              <w:top w:type="dxa" w:w="30"/>
              <w:left w:type="dxa" w:w="80"/>
              <w:bottom w:type="dxa" w:w="30"/>
              <w:right w:type="dxa" w:w="80"/>
            </w:tcMar>
          </w:tcPr>
          <w:p>
            <w:r>
              <w:rPr>
                <w:b w:val="false"/>
                <w:bCs w:val="false"/>
                <w:sz w:val="17"/>
                <w:szCs w:val="17"/>
              </w:rPr>
              <w:t xml:space="preserve">Output</w:t>
            </w:r>
          </w:p>
        </w:tc>
        <w:tc>
          <w:tcPr>
            <w:tcW w:type="dxa" w:w="1900"/>
            <w:tcMar>
              <w:top w:type="dxa" w:w="30"/>
              <w:left w:type="dxa" w:w="80"/>
              <w:bottom w:type="dxa" w:w="30"/>
              <w:right w:type="dxa" w:w="80"/>
            </w:tcMar>
          </w:tcPr>
          <w:p>
            <w:r>
              <w:rPr>
                <w:b w:val="false"/>
                <w:bCs w:val="false"/>
                <w:sz w:val="17"/>
                <w:szCs w:val="17"/>
              </w:rPr>
              <w:t xml:space="preserve">Markdown</w:t>
            </w:r>
          </w:p>
        </w:tc>
        <w:tc>
          <w:tcPr>
            <w:tcW w:type="dxa" w:w="7040"/>
            <w:tcMar>
              <w:top w:type="dxa" w:w="30"/>
              <w:left w:type="dxa" w:w="80"/>
              <w:bottom w:type="dxa" w:w="30"/>
              <w:right w:type="dxa" w:w="80"/>
            </w:tcMar>
          </w:tcPr>
          <w:p>
            <w:r>
              <w:rPr>
                <w:b w:val="false"/>
                <w:bCs w:val="false"/>
                <w:sz w:val="17"/>
                <w:szCs w:val="17"/>
              </w:rPr>
              <w:t xml:space="preserve">Renders in the submission, diffs cleanly in Git.</w:t>
            </w:r>
          </w:p>
        </w:tc>
      </w:tr>
    </w:tbl>
    <w:p>
      <w:pPr>
        <w:pStyle w:val="Heading1"/>
        <w:spacing w:after="50" w:before="130"/>
      </w:pPr>
      <w:r>
        <w:t xml:space="preserve">Orchestration: Router / Dispatcher</w:t>
      </w:r>
    </w:p>
    <w:p>
      <w:pPr>
        <w:spacing w:after="60"/>
      </w:pPr>
      <w:r>
        <w:t xml:space="preserve">The four request types (plan, risk, status, milestone) need different files, output schemas and guardrails, and no request needs several agents collaborating, so a Router fits better than a sequential pipeline (not every request touches every capability) or a hierarchy (nothing to decompose). The Router is a temperature-0 classifier that reads the request and a manifest of loaded files, returns a JSON intent, and refuses (INSUFFICIENT) when no valid intent or required file exists, so vague requests are stopped before any generating agent runs. Counting, sprint filters and date arithmetic run in a deterministic Data Prep Code node; the agents only narrate.</w:t>
      </w:r>
    </w:p>
    <w:p>
      <w:pPr>
        <w:pStyle w:val="Heading1"/>
        <w:spacing w:after="50" w:before="130"/>
      </w:pPr>
      <w:r>
        <w:t xml:space="preserve">Agents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600"/>
        <w:gridCol w:w="4300"/>
        <w:gridCol w:w="4540"/>
      </w:tblGrid>
      <w:tr>
        <w:trPr>
          <w:tblHeader/>
        </w:trPr>
        <w:tc>
          <w:tcPr>
            <w:tcW w:type="dxa" w:w="1600"/>
            <w:shd w:fill="D9E2F3" w:val="clear"/>
            <w:tcMar>
              <w:top w:type="dxa" w:w="30"/>
              <w:left w:type="dxa" w:w="80"/>
              <w:bottom w:type="dxa" w:w="30"/>
              <w:right w:type="dxa" w:w="80"/>
            </w:tcMar>
          </w:tcPr>
          <w:p>
            <w:r>
              <w:rPr>
                <w:b/>
                <w:bCs/>
                <w:sz w:val="17"/>
                <w:szCs w:val="17"/>
              </w:rPr>
              <w:t xml:space="preserve">Agent</w:t>
            </w:r>
          </w:p>
        </w:tc>
        <w:tc>
          <w:tcPr>
            <w:tcW w:type="dxa" w:w="4300"/>
            <w:shd w:fill="D9E2F3" w:val="clear"/>
            <w:tcMar>
              <w:top w:type="dxa" w:w="30"/>
              <w:left w:type="dxa" w:w="80"/>
              <w:bottom w:type="dxa" w:w="30"/>
              <w:right w:type="dxa" w:w="80"/>
            </w:tcMar>
          </w:tcPr>
          <w:p>
            <w:r>
              <w:rPr>
                <w:b/>
                <w:bCs/>
                <w:sz w:val="17"/>
                <w:szCs w:val="17"/>
              </w:rPr>
              <w:t xml:space="preserve">Input → Output</w:t>
            </w:r>
          </w:p>
        </w:tc>
        <w:tc>
          <w:tcPr>
            <w:tcW w:type="dxa" w:w="4540"/>
            <w:shd w:fill="D9E2F3" w:val="clear"/>
            <w:tcMar>
              <w:top w:type="dxa" w:w="30"/>
              <w:left w:type="dxa" w:w="80"/>
              <w:bottom w:type="dxa" w:w="30"/>
              <w:right w:type="dxa" w:w="80"/>
            </w:tcMar>
          </w:tcPr>
          <w:p>
            <w:r>
              <w:rPr>
                <w:b/>
                <w:bCs/>
                <w:sz w:val="17"/>
                <w:szCs w:val="17"/>
              </w:rPr>
              <w:t xml:space="preserve">Key rules</w:t>
            </w:r>
          </w:p>
        </w:tc>
      </w:tr>
      <w:tr>
        <w:tc>
          <w:tcPr>
            <w:tcW w:type="dxa" w:w="1600"/>
            <w:tcMar>
              <w:top w:type="dxa" w:w="30"/>
              <w:left w:type="dxa" w:w="80"/>
              <w:bottom w:type="dxa" w:w="30"/>
              <w:right w:type="dxa" w:w="80"/>
            </w:tcMar>
          </w:tcPr>
          <w:p>
            <w:r>
              <w:rPr>
                <w:b w:val="false"/>
                <w:bCs w:val="false"/>
                <w:sz w:val="17"/>
                <w:szCs w:val="17"/>
              </w:rPr>
              <w:t xml:space="preserve">Router</w:t>
            </w:r>
          </w:p>
        </w:tc>
        <w:tc>
          <w:tcPr>
            <w:tcW w:type="dxa" w:w="4300"/>
            <w:tcMar>
              <w:top w:type="dxa" w:w="30"/>
              <w:left w:type="dxa" w:w="80"/>
              <w:bottom w:type="dxa" w:w="30"/>
              <w:right w:type="dxa" w:w="80"/>
            </w:tcMar>
          </w:tcPr>
          <w:p>
            <w:r>
              <w:rPr>
                <w:b w:val="false"/>
                <w:bCs w:val="false"/>
                <w:sz w:val="17"/>
                <w:szCs w:val="17"/>
              </w:rPr>
              <w:t xml:space="preserve">Request + file manifest → JSON intent, target, missing</w:t>
            </w:r>
          </w:p>
        </w:tc>
        <w:tc>
          <w:tcPr>
            <w:tcW w:type="dxa" w:w="4540"/>
            <w:tcMar>
              <w:top w:type="dxa" w:w="30"/>
              <w:left w:type="dxa" w:w="80"/>
              <w:bottom w:type="dxa" w:w="30"/>
              <w:right w:type="dxa" w:w="80"/>
            </w:tcMar>
          </w:tcPr>
          <w:p>
            <w:r>
              <w:rPr>
                <w:b w:val="false"/>
                <w:bCs w:val="false"/>
                <w:sz w:val="17"/>
                <w:szCs w:val="17"/>
              </w:rPr>
              <w:t xml:space="preserve">Never guess an intent; valid question with no data is INSUFFICIENT.</w:t>
            </w:r>
          </w:p>
        </w:tc>
      </w:tr>
      <w:tr>
        <w:tc>
          <w:tcPr>
            <w:tcW w:type="dxa" w:w="1600"/>
            <w:tcMar>
              <w:top w:type="dxa" w:w="30"/>
              <w:left w:type="dxa" w:w="80"/>
              <w:bottom w:type="dxa" w:w="30"/>
              <w:right w:type="dxa" w:w="80"/>
            </w:tcMar>
          </w:tcPr>
          <w:p>
            <w:r>
              <w:rPr>
                <w:b w:val="false"/>
                <w:bCs w:val="false"/>
                <w:sz w:val="17"/>
                <w:szCs w:val="17"/>
              </w:rPr>
              <w:t xml:space="preserve">Planner</w:t>
            </w:r>
          </w:p>
        </w:tc>
        <w:tc>
          <w:tcPr>
            <w:tcW w:type="dxa" w:w="4300"/>
            <w:tcMar>
              <w:top w:type="dxa" w:w="30"/>
              <w:left w:type="dxa" w:w="80"/>
              <w:bottom w:type="dxa" w:w="30"/>
              <w:right w:type="dxa" w:w="80"/>
            </w:tcMar>
          </w:tcPr>
          <w:p>
            <w:r>
              <w:rPr>
                <w:b w:val="false"/>
                <w:bCs w:val="false"/>
                <w:sz w:val="17"/>
                <w:szCs w:val="17"/>
              </w:rPr>
              <w:t xml:space="preserve">Description + timeline → phase table with source per row</w:t>
            </w:r>
          </w:p>
        </w:tc>
        <w:tc>
          <w:tcPr>
            <w:tcW w:type="dxa" w:w="4540"/>
            <w:tcMar>
              <w:top w:type="dxa" w:w="30"/>
              <w:left w:type="dxa" w:w="80"/>
              <w:bottom w:type="dxa" w:w="30"/>
              <w:right w:type="dxa" w:w="80"/>
            </w:tcMar>
          </w:tcPr>
          <w:p>
            <w:r>
              <w:rPr>
                <w:b w:val="false"/>
                <w:bCs w:val="false"/>
                <w:sz w:val="17"/>
                <w:szCs w:val="17"/>
              </w:rPr>
              <w:t xml:space="preserve">No phases, goals or dates beyond CONTEXT; refuse if scope is missing.</w:t>
            </w:r>
          </w:p>
        </w:tc>
      </w:tr>
      <w:tr>
        <w:tc>
          <w:tcPr>
            <w:tcW w:type="dxa" w:w="1600"/>
            <w:tcMar>
              <w:top w:type="dxa" w:w="30"/>
              <w:left w:type="dxa" w:w="80"/>
              <w:bottom w:type="dxa" w:w="30"/>
              <w:right w:type="dxa" w:w="80"/>
            </w:tcMar>
          </w:tcPr>
          <w:p>
            <w:r>
              <w:rPr>
                <w:b w:val="false"/>
                <w:bCs w:val="false"/>
                <w:sz w:val="17"/>
                <w:szCs w:val="17"/>
              </w:rPr>
              <w:t xml:space="preserve">Risk Assessor</w:t>
            </w:r>
          </w:p>
        </w:tc>
        <w:tc>
          <w:tcPr>
            <w:tcW w:type="dxa" w:w="4300"/>
            <w:tcMar>
              <w:top w:type="dxa" w:w="30"/>
              <w:left w:type="dxa" w:w="80"/>
              <w:bottom w:type="dxa" w:w="30"/>
              <w:right w:type="dxa" w:w="80"/>
            </w:tcMar>
          </w:tcPr>
          <w:p>
            <w:r>
              <w:rPr>
                <w:b w:val="false"/>
                <w:bCs w:val="false"/>
                <w:sz w:val="17"/>
                <w:szCs w:val="17"/>
              </w:rPr>
              <w:t xml:space="preserve">Description + risk register → risk matrix + coverage note</w:t>
            </w:r>
          </w:p>
        </w:tc>
        <w:tc>
          <w:tcPr>
            <w:tcW w:type="dxa" w:w="4540"/>
            <w:tcMar>
              <w:top w:type="dxa" w:w="30"/>
              <w:left w:type="dxa" w:w="80"/>
              <w:bottom w:type="dxa" w:w="30"/>
              <w:right w:type="dxa" w:w="80"/>
            </w:tcMar>
          </w:tcPr>
          <w:p>
            <w:r>
              <w:rPr>
                <w:b w:val="false"/>
                <w:bCs w:val="false"/>
                <w:sz w:val="17"/>
                <w:szCs w:val="17"/>
              </w:rPr>
              <w:t xml:space="preserve">Every risk traces to a register row; no generic AI risks.</w:t>
            </w:r>
          </w:p>
        </w:tc>
      </w:tr>
      <w:tr>
        <w:tc>
          <w:tcPr>
            <w:tcW w:type="dxa" w:w="1600"/>
            <w:tcMar>
              <w:top w:type="dxa" w:w="30"/>
              <w:left w:type="dxa" w:w="80"/>
              <w:bottom w:type="dxa" w:w="30"/>
              <w:right w:type="dxa" w:w="80"/>
            </w:tcMar>
          </w:tcPr>
          <w:p>
            <w:r>
              <w:rPr>
                <w:b w:val="false"/>
                <w:bCs w:val="false"/>
                <w:sz w:val="17"/>
                <w:szCs w:val="17"/>
              </w:rPr>
              <w:t xml:space="preserve">Status Reporter</w:t>
            </w:r>
          </w:p>
        </w:tc>
        <w:tc>
          <w:tcPr>
            <w:tcW w:type="dxa" w:w="4300"/>
            <w:tcMar>
              <w:top w:type="dxa" w:w="30"/>
              <w:left w:type="dxa" w:w="80"/>
              <w:bottom w:type="dxa" w:w="30"/>
              <w:right w:type="dxa" w:w="80"/>
            </w:tcMar>
          </w:tcPr>
          <w:p>
            <w:r>
              <w:rPr>
                <w:b w:val="false"/>
                <w:bCs w:val="false"/>
                <w:sz w:val="17"/>
                <w:szCs w:val="17"/>
              </w:rPr>
              <w:t xml:space="preserve">Precomputed counts + tasks → weekly report, health rating</w:t>
            </w:r>
          </w:p>
        </w:tc>
        <w:tc>
          <w:tcPr>
            <w:tcW w:type="dxa" w:w="4540"/>
            <w:tcMar>
              <w:top w:type="dxa" w:w="30"/>
              <w:left w:type="dxa" w:w="80"/>
              <w:bottom w:type="dxa" w:w="30"/>
              <w:right w:type="dxa" w:w="80"/>
            </w:tcMar>
          </w:tcPr>
          <w:p>
            <w:r>
              <w:rPr>
                <w:b w:val="false"/>
                <w:bCs w:val="false"/>
                <w:sz w:val="17"/>
                <w:szCs w:val="17"/>
              </w:rPr>
              <w:t xml:space="preserve">Repeat supplied figures exactly; stay in requested sprint scope.</w:t>
            </w:r>
          </w:p>
        </w:tc>
      </w:tr>
      <w:tr>
        <w:tc>
          <w:tcPr>
            <w:tcW w:type="dxa" w:w="1600"/>
            <w:tcMar>
              <w:top w:type="dxa" w:w="30"/>
              <w:left w:type="dxa" w:w="80"/>
              <w:bottom w:type="dxa" w:w="30"/>
              <w:right w:type="dxa" w:w="80"/>
            </w:tcMar>
          </w:tcPr>
          <w:p>
            <w:r>
              <w:rPr>
                <w:b w:val="false"/>
                <w:bCs w:val="false"/>
                <w:sz w:val="17"/>
                <w:szCs w:val="17"/>
              </w:rPr>
              <w:t xml:space="preserve">Milestone Tracker</w:t>
            </w:r>
          </w:p>
        </w:tc>
        <w:tc>
          <w:tcPr>
            <w:tcW w:type="dxa" w:w="4300"/>
            <w:tcMar>
              <w:top w:type="dxa" w:w="30"/>
              <w:left w:type="dxa" w:w="80"/>
              <w:bottom w:type="dxa" w:w="30"/>
              <w:right w:type="dxa" w:w="80"/>
            </w:tcMar>
          </w:tcPr>
          <w:p>
            <w:r>
              <w:rPr>
                <w:b w:val="false"/>
                <w:bCs w:val="false"/>
                <w:sz w:val="17"/>
                <w:szCs w:val="17"/>
              </w:rPr>
              <w:t xml:space="preserve">Timeline + precomputed windows → upcoming, at-risk, blocked</w:t>
            </w:r>
          </w:p>
        </w:tc>
        <w:tc>
          <w:tcPr>
            <w:tcW w:type="dxa" w:w="4540"/>
            <w:tcMar>
              <w:top w:type="dxa" w:w="30"/>
              <w:left w:type="dxa" w:w="80"/>
              <w:bottom w:type="dxa" w:w="30"/>
              <w:right w:type="dxa" w:w="80"/>
            </w:tcMar>
          </w:tcPr>
          <w:p>
            <w:r>
              <w:rPr>
                <w:b w:val="false"/>
                <w:bCs w:val="false"/>
                <w:sz w:val="17"/>
                <w:szCs w:val="17"/>
              </w:rPr>
              <w:t xml:space="preserve">Never compute a date; state the anchor date used.</w:t>
            </w:r>
          </w:p>
        </w:tc>
      </w:tr>
    </w:tbl>
    <w:p>
      <w:pPr>
        <w:pStyle w:val="Heading1"/>
        <w:spacing w:after="50" w:before="130"/>
      </w:pPr>
      <w:r>
        <w:t xml:space="preserve">Cost Analysis</w:t>
      </w:r>
    </w:p>
    <w:p>
      <w:pPr>
        <w:spacing w:after="60"/>
      </w:pPr>
      <w:r>
        <w:t xml:space="preserve">gpt-4o-mini at $0.15 / $0.60 per 1M input/output tokens; token counts from the baseline outputs and one logged run (Status Reporter: 2,577 in + 282 out), with other inputs derived from measured prompt lengths.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40"/>
        <w:gridCol w:w="1600"/>
        <w:gridCol w:w="1650"/>
        <w:gridCol w:w="1650"/>
        <w:gridCol w:w="1650"/>
        <w:gridCol w:w="1650"/>
      </w:tblGrid>
      <w:tr>
        <w:trPr>
          <w:tblHeader/>
        </w:trPr>
        <w:tc>
          <w:tcPr>
            <w:tcW w:type="dxa" w:w="2240"/>
            <w:shd w:fill="D9E2F3" w:val="clear"/>
            <w:tcMar>
              <w:top w:type="dxa" w:w="30"/>
              <w:left w:type="dxa" w:w="80"/>
              <w:bottom w:type="dxa" w:w="30"/>
              <w:right w:type="dxa" w:w="80"/>
            </w:tcMar>
          </w:tcPr>
          <w:p>
            <w:r>
              <w:rPr>
                <w:b/>
                <w:bCs/>
                <w:sz w:val="17"/>
                <w:szCs w:val="17"/>
              </w:rPr>
              <w:t xml:space="preserve"/>
            </w:r>
          </w:p>
        </w:tc>
        <w:tc>
          <w:tcPr>
            <w:tcW w:type="dxa" w:w="1600"/>
            <w:shd w:fill="D9E2F3" w:val="clear"/>
            <w:tcMar>
              <w:top w:type="dxa" w:w="30"/>
              <w:left w:type="dxa" w:w="80"/>
              <w:bottom w:type="dxa" w:w="30"/>
              <w:right w:type="dxa" w:w="80"/>
            </w:tcMar>
          </w:tcPr>
          <w:p>
            <w:r>
              <w:rPr>
                <w:b/>
                <w:bCs/>
                <w:sz w:val="17"/>
                <w:szCs w:val="17"/>
              </w:rPr>
              <w:t xml:space="preserve">Router</w:t>
            </w:r>
          </w:p>
        </w:tc>
        <w:tc>
          <w:tcPr>
            <w:tcW w:type="dxa" w:w="1650"/>
            <w:shd w:fill="D9E2F3" w:val="clear"/>
            <w:tcMar>
              <w:top w:type="dxa" w:w="30"/>
              <w:left w:type="dxa" w:w="80"/>
              <w:bottom w:type="dxa" w:w="30"/>
              <w:right w:type="dxa" w:w="80"/>
            </w:tcMar>
          </w:tcPr>
          <w:p>
            <w:r>
              <w:rPr>
                <w:b/>
                <w:bCs/>
                <w:sz w:val="17"/>
                <w:szCs w:val="17"/>
              </w:rPr>
              <w:t xml:space="preserve">Planner</w:t>
            </w:r>
          </w:p>
        </w:tc>
        <w:tc>
          <w:tcPr>
            <w:tcW w:type="dxa" w:w="1650"/>
            <w:shd w:fill="D9E2F3" w:val="clear"/>
            <w:tcMar>
              <w:top w:type="dxa" w:w="30"/>
              <w:left w:type="dxa" w:w="80"/>
              <w:bottom w:type="dxa" w:w="30"/>
              <w:right w:type="dxa" w:w="80"/>
            </w:tcMar>
          </w:tcPr>
          <w:p>
            <w:r>
              <w:rPr>
                <w:b/>
                <w:bCs/>
                <w:sz w:val="17"/>
                <w:szCs w:val="17"/>
              </w:rPr>
              <w:t xml:space="preserve">Risk</w:t>
            </w:r>
          </w:p>
        </w:tc>
        <w:tc>
          <w:tcPr>
            <w:tcW w:type="dxa" w:w="1650"/>
            <w:shd w:fill="D9E2F3" w:val="clear"/>
            <w:tcMar>
              <w:top w:type="dxa" w:w="30"/>
              <w:left w:type="dxa" w:w="80"/>
              <w:bottom w:type="dxa" w:w="30"/>
              <w:right w:type="dxa" w:w="80"/>
            </w:tcMar>
          </w:tcPr>
          <w:p>
            <w:r>
              <w:rPr>
                <w:b/>
                <w:bCs/>
                <w:sz w:val="17"/>
                <w:szCs w:val="17"/>
              </w:rPr>
              <w:t xml:space="preserve">Status</w:t>
            </w:r>
          </w:p>
        </w:tc>
        <w:tc>
          <w:tcPr>
            <w:tcW w:type="dxa" w:w="1650"/>
            <w:shd w:fill="D9E2F3" w:val="clear"/>
            <w:tcMar>
              <w:top w:type="dxa" w:w="30"/>
              <w:left w:type="dxa" w:w="80"/>
              <w:bottom w:type="dxa" w:w="30"/>
              <w:right w:type="dxa" w:w="80"/>
            </w:tcMar>
          </w:tcPr>
          <w:p>
            <w:r>
              <w:rPr>
                <w:b/>
                <w:bCs/>
                <w:sz w:val="17"/>
                <w:szCs w:val="17"/>
              </w:rPr>
              <w:t xml:space="preserve">Milestone</w:t>
            </w:r>
          </w:p>
        </w:tc>
      </w:tr>
      <w:tr>
        <w:tc>
          <w:tcPr>
            <w:tcW w:type="dxa" w:w="2240"/>
            <w:tcMar>
              <w:top w:type="dxa" w:w="30"/>
              <w:left w:type="dxa" w:w="80"/>
              <w:bottom w:type="dxa" w:w="30"/>
              <w:right w:type="dxa" w:w="80"/>
            </w:tcMar>
          </w:tcPr>
          <w:p>
            <w:r>
              <w:rPr>
                <w:b w:val="false"/>
                <w:bCs w:val="false"/>
                <w:sz w:val="17"/>
                <w:szCs w:val="17"/>
              </w:rPr>
              <w:t xml:space="preserve">Input / output tokens</w:t>
            </w:r>
          </w:p>
        </w:tc>
        <w:tc>
          <w:tcPr>
            <w:tcW w:type="dxa" w:w="1600"/>
            <w:tcMar>
              <w:top w:type="dxa" w:w="30"/>
              <w:left w:type="dxa" w:w="80"/>
              <w:bottom w:type="dxa" w:w="30"/>
              <w:right w:type="dxa" w:w="80"/>
            </w:tcMar>
          </w:tcPr>
          <w:p>
            <w:r>
              <w:rPr>
                <w:b w:val="false"/>
                <w:bCs w:val="false"/>
                <w:sz w:val="17"/>
                <w:szCs w:val="17"/>
              </w:rPr>
              <w:t xml:space="preserve">~640 / 34</w:t>
            </w:r>
          </w:p>
        </w:tc>
        <w:tc>
          <w:tcPr>
            <w:tcW w:type="dxa" w:w="1650"/>
            <w:tcMar>
              <w:top w:type="dxa" w:w="30"/>
              <w:left w:type="dxa" w:w="80"/>
              <w:bottom w:type="dxa" w:w="30"/>
              <w:right w:type="dxa" w:w="80"/>
            </w:tcMar>
          </w:tcPr>
          <w:p>
            <w:r>
              <w:rPr>
                <w:b w:val="false"/>
                <w:bCs w:val="false"/>
                <w:sz w:val="17"/>
                <w:szCs w:val="17"/>
              </w:rPr>
              <w:t xml:space="preserve">~1,326 / 510</w:t>
            </w:r>
          </w:p>
        </w:tc>
        <w:tc>
          <w:tcPr>
            <w:tcW w:type="dxa" w:w="1650"/>
            <w:tcMar>
              <w:top w:type="dxa" w:w="30"/>
              <w:left w:type="dxa" w:w="80"/>
              <w:bottom w:type="dxa" w:w="30"/>
              <w:right w:type="dxa" w:w="80"/>
            </w:tcMar>
          </w:tcPr>
          <w:p>
            <w:r>
              <w:rPr>
                <w:b w:val="false"/>
                <w:bCs w:val="false"/>
                <w:sz w:val="17"/>
                <w:szCs w:val="17"/>
              </w:rPr>
              <w:t xml:space="preserve">~1,575 / 618</w:t>
            </w:r>
          </w:p>
        </w:tc>
        <w:tc>
          <w:tcPr>
            <w:tcW w:type="dxa" w:w="1650"/>
            <w:tcMar>
              <w:top w:type="dxa" w:w="30"/>
              <w:left w:type="dxa" w:w="80"/>
              <w:bottom w:type="dxa" w:w="30"/>
              <w:right w:type="dxa" w:w="80"/>
            </w:tcMar>
          </w:tcPr>
          <w:p>
            <w:r>
              <w:rPr>
                <w:b w:val="false"/>
                <w:bCs w:val="false"/>
                <w:sz w:val="17"/>
                <w:szCs w:val="17"/>
              </w:rPr>
              <w:t xml:space="preserve">2,577 / 282</w:t>
            </w:r>
          </w:p>
        </w:tc>
        <w:tc>
          <w:tcPr>
            <w:tcW w:type="dxa" w:w="1650"/>
            <w:tcMar>
              <w:top w:type="dxa" w:w="30"/>
              <w:left w:type="dxa" w:w="80"/>
              <w:bottom w:type="dxa" w:w="30"/>
              <w:right w:type="dxa" w:w="80"/>
            </w:tcMar>
          </w:tcPr>
          <w:p>
            <w:r>
              <w:rPr>
                <w:b w:val="false"/>
                <w:bCs w:val="false"/>
                <w:sz w:val="17"/>
                <w:szCs w:val="17"/>
              </w:rPr>
              <w:t xml:space="preserve">~1,497 / 188</w:t>
            </w:r>
          </w:p>
        </w:tc>
      </w:tr>
      <w:tr>
        <w:tc>
          <w:tcPr>
            <w:tcW w:type="dxa" w:w="2240"/>
            <w:tcMar>
              <w:top w:type="dxa" w:w="30"/>
              <w:left w:type="dxa" w:w="80"/>
              <w:bottom w:type="dxa" w:w="30"/>
              <w:right w:type="dxa" w:w="80"/>
            </w:tcMar>
          </w:tcPr>
          <w:p>
            <w:r>
              <w:rPr>
                <w:b w:val="false"/>
                <w:bCs w:val="false"/>
                <w:sz w:val="17"/>
                <w:szCs w:val="17"/>
              </w:rPr>
              <w:t xml:space="preserve">Cost per run</w:t>
            </w:r>
          </w:p>
        </w:tc>
        <w:tc>
          <w:tcPr>
            <w:tcW w:type="dxa" w:w="1600"/>
            <w:tcMar>
              <w:top w:type="dxa" w:w="30"/>
              <w:left w:type="dxa" w:w="80"/>
              <w:bottom w:type="dxa" w:w="30"/>
              <w:right w:type="dxa" w:w="80"/>
            </w:tcMar>
          </w:tcPr>
          <w:p>
            <w:r>
              <w:rPr>
                <w:b w:val="false"/>
                <w:bCs w:val="false"/>
                <w:sz w:val="17"/>
                <w:szCs w:val="17"/>
              </w:rPr>
              <w:t xml:space="preserve">$0.000116</w:t>
            </w:r>
          </w:p>
        </w:tc>
        <w:tc>
          <w:tcPr>
            <w:tcW w:type="dxa" w:w="1650"/>
            <w:tcMar>
              <w:top w:type="dxa" w:w="30"/>
              <w:left w:type="dxa" w:w="80"/>
              <w:bottom w:type="dxa" w:w="30"/>
              <w:right w:type="dxa" w:w="80"/>
            </w:tcMar>
          </w:tcPr>
          <w:p>
            <w:r>
              <w:rPr>
                <w:b w:val="false"/>
                <w:bCs w:val="false"/>
                <w:sz w:val="17"/>
                <w:szCs w:val="17"/>
              </w:rPr>
              <w:t xml:space="preserve">$0.000505</w:t>
            </w:r>
          </w:p>
        </w:tc>
        <w:tc>
          <w:tcPr>
            <w:tcW w:type="dxa" w:w="1650"/>
            <w:tcMar>
              <w:top w:type="dxa" w:w="30"/>
              <w:left w:type="dxa" w:w="80"/>
              <w:bottom w:type="dxa" w:w="30"/>
              <w:right w:type="dxa" w:w="80"/>
            </w:tcMar>
          </w:tcPr>
          <w:p>
            <w:r>
              <w:rPr>
                <w:b w:val="false"/>
                <w:bCs w:val="false"/>
                <w:sz w:val="17"/>
                <w:szCs w:val="17"/>
              </w:rPr>
              <w:t xml:space="preserve">$0.000607</w:t>
            </w:r>
          </w:p>
        </w:tc>
        <w:tc>
          <w:tcPr>
            <w:tcW w:type="dxa" w:w="1650"/>
            <w:tcMar>
              <w:top w:type="dxa" w:w="30"/>
              <w:left w:type="dxa" w:w="80"/>
              <w:bottom w:type="dxa" w:w="30"/>
              <w:right w:type="dxa" w:w="80"/>
            </w:tcMar>
          </w:tcPr>
          <w:p>
            <w:r>
              <w:rPr>
                <w:b w:val="false"/>
                <w:bCs w:val="false"/>
                <w:sz w:val="17"/>
                <w:szCs w:val="17"/>
              </w:rPr>
              <w:t xml:space="preserve">$0.000556</w:t>
            </w:r>
          </w:p>
        </w:tc>
        <w:tc>
          <w:tcPr>
            <w:tcW w:type="dxa" w:w="1650"/>
            <w:tcMar>
              <w:top w:type="dxa" w:w="30"/>
              <w:left w:type="dxa" w:w="80"/>
              <w:bottom w:type="dxa" w:w="30"/>
              <w:right w:type="dxa" w:w="80"/>
            </w:tcMar>
          </w:tcPr>
          <w:p>
            <w:r>
              <w:rPr>
                <w:b w:val="false"/>
                <w:bCs w:val="false"/>
                <w:sz w:val="17"/>
                <w:szCs w:val="17"/>
              </w:rPr>
              <w:t xml:space="preserve">$0.000337</w:t>
            </w:r>
          </w:p>
        </w:tc>
      </w:tr>
    </w:tbl>
    <w:p>
      <w:pPr>
        <w:spacing w:after="60"/>
      </w:pPr>
      <w:r>
        <w:t xml:space="preserve">Typical request (Router + one specialist) ≈ $0.00062. At 20 requests per PM per day: about $0.0124 per PM per day, or $0.37 per PM per month. Langfuse is on its free tier.</w:t>
      </w:r>
    </w:p>
    <w:p>
      <w:pPr>
        <w:pStyle w:val="Heading1"/>
        <w:spacing w:after="50" w:before="130"/>
      </w:pPr>
      <w:r>
        <w:t xml:space="preserve">Evaluation Strategy: 3 Production Metrics</w:t>
      </w:r>
    </w:p>
    <w:p>
      <w:pPr>
        <w:pStyle w:val="ListParagraph"/>
        <w:numPr>
          <w:ilvl w:val="0"/>
          <w:numId w:val="1"/>
        </w:numPr>
        <w:spacing w:after="30"/>
      </w:pPr>
      <w:r>
        <w:rPr>
          <w:b/>
          <w:bCs/>
        </w:rPr>
        <w:t xml:space="preserve">Plan groundedness: </w:t>
      </w:r>
      <w:r>
        <w:t xml:space="preserve">% of plan phases/milestones whose source citation resolves to the timeline or description. Target 100%.</w:t>
      </w:r>
    </w:p>
    <w:p>
      <w:pPr>
        <w:pStyle w:val="ListParagraph"/>
        <w:numPr>
          <w:ilvl w:val="0"/>
          <w:numId w:val="1"/>
        </w:numPr>
        <w:spacing w:after="30"/>
      </w:pPr>
      <w:r>
        <w:rPr>
          <w:b/>
          <w:bCs/>
        </w:rPr>
        <w:t xml:space="preserve">Risk relevance: </w:t>
      </w:r>
      <w:r>
        <w:t xml:space="preserve">% of risks that trace to the risk register rather than generic boilerplate. Target ≥90%.</w:t>
      </w:r>
    </w:p>
    <w:p>
      <w:pPr>
        <w:pStyle w:val="ListParagraph"/>
        <w:numPr>
          <w:ilvl w:val="0"/>
          <w:numId w:val="1"/>
        </w:numPr>
        <w:spacing w:after="30"/>
      </w:pPr>
      <w:r>
        <w:rPr>
          <w:b/>
          <w:bCs/>
        </w:rPr>
        <w:t xml:space="preserve">Status accuracy: </w:t>
      </w:r>
      <w:r>
        <w:t xml:space="preserve">% of reported counts matching the task board exactly. Target 100%, by construction (computed in code).</w:t>
      </w:r>
    </w:p>
    <w:p>
      <w:pPr>
        <w:pStyle w:val="Heading1"/>
        <w:spacing w:after="50" w:before="130"/>
      </w:pPr>
      <w:r>
        <w:t xml:space="preserve">Testing Observations</w:t>
      </w:r>
    </w:p>
    <w:p>
      <w:pPr>
        <w:spacing w:after="60"/>
      </w:pPr>
      <w:r>
        <w:t xml:space="preserve">All 12 baseline tests pass with 0 confirmed hallucinations (4/4 refusal cases correct). Five defects were found via traces and fixed: a sprint filter not reaching scoped data (T5); an override reader mistaking a task's sprint column for a filter (T10); a refusal that dropped its follow-up text because the rule sat too deep in the prompt (T4); series-instead-of-parallel CSV reads that produced 200 duplicate items and hid the blocked task (T11); and run-to-run variance in the Planner (T1), fixed by temperature 0.2. All were wiring or prompt-completeness gaps, not invented facts. Known gaps: the Milestone Tracker has no Overdue output slot, top-N risk ranking is positional (no severity field), and Langfuse cost/latency understate real values because the tracing payload carries placeholder input and identical timestamps.</w:t>
      </w:r>
    </w:p>
    <w:sectPr>
      <w:pgSz w:w="12240" w:h="15840" w:orient="portrait"/>
      <w:pgMar w:top="700" w:right="900" w:bottom="6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50" w:before="130"/>
      <w:outlineLvl w:val="0"/>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3f78fe37cb718447889effb67ea5893ccc032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2026-10-03T22:33:57.603Z</dcterms:created>
  <dcterms:modified xsi:type="dcterms:W3CDTF">2026-10-03T22:33:57.603Z</dcterms:modified>
</cp:coreProperties>
</file>

<file path=docProps/custom.xml><?xml version="1.0" encoding="utf-8"?>
<Properties xmlns="http://schemas.openxmlformats.org/officeDocument/2006/custom-properties" xmlns:vt="http://schemas.openxmlformats.org/officeDocument/2006/docPropsVTypes"/>
</file>