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Mira — Program Charter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AI-Powered Project Intelligence Assistant · Nexora Pvt. Ltd. · Capstone: Applied Agentic AI for PMs/TPMs</w:t>
      </w:r>
    </w:p>
    <w:p>
      <w:pPr>
        <w:spacing w:after="200"/>
      </w:pPr>
      <w:r>
        <w:rPr>
          <w:color w:val="888888"/>
          <w:sz w:val="18"/>
          <w:szCs w:val="18"/>
        </w:rPr>
        <w:t xml:space="preserve">Q3 submission · Author: Rosh</w:t>
      </w:r>
    </w:p>
    <w:p>
      <w:pPr>
        <w:pStyle w:val="Heading1"/>
        <w:spacing w:after="100" w:before="220"/>
      </w:pPr>
      <w:r>
        <w:t xml:space="preserve">1. Vision</w:t>
      </w:r>
    </w:p>
    <w:p>
      <w:pPr>
        <w:spacing w:after="100"/>
      </w:pPr>
      <w:r>
        <w:t xml:space="preserve">Mira exists so that Nexora's PM/TPMs spend their limited time on judgement calls instead of formatting. Every plan, risk matrix, and status report a PM currently builds by hand from a project's own files, Mira drafts to the same standard in minutes — grounded strictly in that project's own description, timeline, risk register, and task board, never in general knowledge. Success looks like a PM opening Mira, getting a client-ready first draft back before their coffee finishes brewing, and trusting it enough to spend their review time on judgement rather than fact-checking. The program earns that trust only by refusing to guess: a fast tool that invents a milestone is worse than no tool, because it hands the PM an unearned reviewing burden while appearing authoritative.</w:t>
      </w:r>
    </w:p>
    <w:p>
      <w:pPr>
        <w:pStyle w:val="Heading1"/>
        <w:spacing w:after="100" w:before="220"/>
      </w:pPr>
      <w:r>
        <w:t xml:space="preserve">2. Scope</w:t>
      </w:r>
    </w:p>
    <w:p>
      <w:pPr>
        <w:pStyle w:val="Heading2"/>
        <w:spacing w:after="80" w:before="160"/>
      </w:pPr>
      <w:r>
        <w:t xml:space="preserve">In scope (v1)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Project Plan Generation from a project description + timeline CSV (core)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Risk Assessment producing a categorized matrix with impact and mitigation (core)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Weekly Status Report from task board CSV, including blockers (core)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Milestone Alert System — timeline vs. progress, flagging at-risk items (extended)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Stakeholder Update Generator — audience-tailored narrative updates (extended)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Request routing across all four request types, with refusal behavior on insufficient input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Observability tracing, baseline evaluation against all 12 test cases, and cost analysis</w:t>
      </w:r>
    </w:p>
    <w:p>
      <w:pPr>
        <w:pStyle w:val="Heading2"/>
        <w:spacing w:after="80" w:before="160"/>
      </w:pPr>
      <w:r>
        <w:t xml:space="preserve">Out of scope (v1)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Live Trello/Jira API integration — CSV upload only, to keep the auth surface at zero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Writing back to any task board — Mira reads project systems, never mutates them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Autonomous sending of client emails — all client-bound output requires PM approval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Multi-project portfolio roll-up — v1 operates on one project's file set at a time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Resource Allocation Advisor, Competitive/Market Analysis, and fine-tuning — deferred pending evaluation evidence that they're needed</w:t>
      </w:r>
    </w:p>
    <w:p>
      <w:pPr>
        <w:pStyle w:val="Heading1"/>
        <w:spacing w:after="100" w:before="220"/>
      </w:pPr>
      <w:r>
        <w:t xml:space="preserve">3. Success Criteria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900"/>
      </w:tblGrid>
      <w:tr>
        <w:trPr>
          <w:tblHeader/>
        </w:trPr>
        <w:tc>
          <w:tcPr>
            <w:tcW w:type="dxa" w:w="9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Objective</w:t>
            </w:r>
          </w:p>
        </w:tc>
        <w:tc>
          <w:tcPr>
            <w:tcW w:type="dxa" w:w="59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Success Criterion (measurable)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BO-1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Cut plan-creation effort</w:t>
            </w:r>
          </w:p>
        </w:tc>
        <w:tc>
          <w:tcPr>
            <w:tcW w:type="dxa" w:w="5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Reduce 3–4 hrs of manual planning to under 30 min of review/edit on a generated draft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BO-2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Cut status-reporting effort</w:t>
            </w:r>
          </w:p>
        </w:tc>
        <w:tc>
          <w:tcPr>
            <w:tcW w:type="dxa" w:w="5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Reduce 1–2 hrs weekly compilation to under 15 min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BO-3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Standardize artefact format</w:t>
            </w:r>
          </w:p>
        </w:tc>
        <w:tc>
          <w:tcPr>
            <w:tcW w:type="dxa" w:w="5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100% of generated plans, risk matrices, and status reports follow one defined schema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BO-4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Make risk assessment consistent</w:t>
            </w:r>
          </w:p>
        </w:tc>
        <w:tc>
          <w:tcPr>
            <w:tcW w:type="dxa" w:w="5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Every active project has a categorized risk matrix with impact and mitigation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BO-5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Surface slippage proactively</w:t>
            </w:r>
          </w:p>
        </w:tc>
        <w:tc>
          <w:tcPr>
            <w:tcW w:type="dxa" w:w="5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Blocked and at-risk items flagged before the retrospective, not during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BO-6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Earn trust through correctness</w:t>
            </w:r>
          </w:p>
        </w:tc>
        <w:tc>
          <w:tcPr>
            <w:tcW w:type="dxa" w:w="5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Zero fabricated milestones, risks, tasks, or counts in any output shared with a client</w:t>
            </w:r>
          </w:p>
        </w:tc>
      </w:tr>
    </w:tbl>
    <w:p>
      <w:pPr>
        <w:spacing w:after="100"/>
      </w:pPr>
      <w:r>
        <w:rPr>
          <w:i/>
          <w:iCs/>
          <w:color w:val="666666"/>
          <w:sz w:val="19"/>
          <w:szCs w:val="19"/>
        </w:rPr>
        <w:t xml:space="preserve">BO-6 is the governing constraint against which every other objective is subordinate — the program does not trade correctness for speed on any of the above.</w:t>
      </w:r>
    </w:p>
    <w:p>
      <w:pPr>
        <w:pStyle w:val="Heading1"/>
        <w:spacing w:after="100" w:before="220"/>
      </w:pPr>
      <w:r>
        <w:t xml:space="preserve">4. Program Timeline</w:t>
      </w:r>
    </w:p>
    <w:p>
      <w:pPr>
        <w:pStyle w:val="Heading2"/>
        <w:spacing w:after="80" w:before="160"/>
      </w:pPr>
      <w:r>
        <w:t xml:space="preserve">Build (complete)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Weeks 1–2: Ideation, business requirements, agent specification, and architecture design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Weeks 2–3: Prompt engineering and individual agent build; each of the 3 core + 1 extended capability tested independently before wiring together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Week 3: Full 12-case baseline test dataset run; 5 defects found via manual inspection and fixed (sprint-scoping, override-reading, refusal completeness, parallel-branch wiring, temperature)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Week 4: Router/Dispatcher built to tie all agents together; Langfuse observability wired into all 5 workflow components; cost analysis grounded in real trace data; architecture writeup completed</w:t>
      </w:r>
    </w:p>
    <w:p>
      <w:pPr>
        <w:pStyle w:val="Heading2"/>
        <w:spacing w:after="80" w:before="160"/>
      </w:pPr>
      <w:r>
        <w:t xml:space="preserve">Rollout (proposed, gated by evidence not calendar)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Phase 0 — Pilot: single PM (build owner), single project (ABCDE Ltd.), CSV-only inputs, every output human-reviewed before reaching the client. Exit gate: 2 consecutive weeks with zero fabricated facts in real usage, on top of the 12/12 baseline pass already achieved.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Phase 1 — Team rollout: expand to Nexora's full PM/TPM team (up to 10), still one project's file set per Mira instance at a time. Exit gate: plan groundedness and status accuracy hold at their targets (100%) across at least 2 projects beyond ABCDE Ltd.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Phase 2 — Steady state: quarterly review of the 3 production metrics (plan groundedness, risk relevance, status accuracy) plus refusal correctness. Any metric falling below target triggers a prompt fix-and-retest cycle, using the same evaluation loop already exercised during the build, before continued use.</w:t>
      </w:r>
    </w:p>
    <w:p>
      <w:pPr>
        <w:pStyle w:val="Heading1"/>
        <w:spacing w:after="100" w:before="220"/>
      </w:pPr>
      <w:r>
        <w:t xml:space="preserve">5. Stakeholders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500"/>
      </w:tblGrid>
      <w:tr>
        <w:trPr>
          <w:tblHeader/>
        </w:trPr>
        <w:tc>
          <w:tcPr>
            <w:tcW w:type="dxa" w:w="26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Stakeholder</w:t>
            </w:r>
          </w:p>
        </w:tc>
        <w:tc>
          <w:tcPr>
            <w:tcW w:type="dxa" w:w="33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Relationship to Mira</w:t>
            </w:r>
          </w:p>
        </w:tc>
        <w:tc>
          <w:tcPr>
            <w:tcW w:type="dxa" w:w="35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What They Need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PM/TPM at Nexora (primary user)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Runs 3–5 concurrent projects; uses Mira daily to draft plans, risk matrices, and status reports</w:t>
            </w:r>
          </w:p>
        </w:tc>
        <w:tc>
          <w:tcPr>
            <w:tcW w:type="dxa" w:w="3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client-ready first draft in minutes, grounded strictly in the project's own files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Nexora Delivery Lead / CTO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Sponsors the program; consumes portfolio-level output</w:t>
            </w:r>
          </w:p>
        </w:tc>
        <w:tc>
          <w:tcPr>
            <w:tcW w:type="dxa" w:w="3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Consistent, comparable artefacts across all projects; visibility without chasing PMs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ABCDE Ltd. stakeholders (client)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Recipients of status reports and stakeholder updates</w:t>
            </w:r>
          </w:p>
        </w:tc>
        <w:tc>
          <w:tcPr>
            <w:tcW w:type="dxa" w:w="3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Accurate, professional, audience-appropriate updates they can trust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Nexora project team (named assignees)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Subjects of the task and resource data Mira reads</w:t>
            </w:r>
          </w:p>
        </w:tc>
        <w:tc>
          <w:tcPr>
            <w:tcW w:type="dxa" w:w="3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Fair, accurate representation of their workload and blockers</w:t>
            </w:r>
          </w:p>
        </w:tc>
      </w:tr>
    </w:tbl>
    <w:p>
      <w:pPr>
        <w:pStyle w:val="Heading1"/>
        <w:spacing w:after="100" w:before="220"/>
      </w:pPr>
      <w:r>
        <w:t xml:space="preserve">6. Decision-Making &amp; Governance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Nexora CTO / Delivery Lead sponsors the program: approves scope changes, budget (negligible at this cost profile), and the go/no-go decision at each rollout phase gate.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The build owner (PM/TPM responsible for Mira) owns technical and prompt-design decisions, and holds the line on BO-6: no change ships without passing the 12-case baseline test set.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Individual PM/TPM users decide whether to adopt, edit, or discard any given draft — Mira never overrides a PM's judgement, and no client-bound output leaves the building without that PM's review (human-in-the-loop).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Change control: any modification to a generating agent's prompt or the deterministic Data Prep logic must be re-validated against all 12 baseline cases before being considered shipped, mirroring the evaluate → fix → re-test loop used throughout the build.</w:t>
      </w:r>
    </w:p>
    <w:p>
      <w:pPr>
        <w:pStyle w:val="Heading1"/>
        <w:spacing w:after="100" w:before="220"/>
      </w:pPr>
      <w:r>
        <w:t xml:space="preserve">7. Risks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00"/>
      </w:tblGrid>
      <w:tr>
        <w:trPr>
          <w:tblHeader/>
        </w:trPr>
        <w:tc>
          <w:tcPr>
            <w:tcW w:type="dxa" w:w="42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Risk</w:t>
            </w:r>
          </w:p>
        </w:tc>
        <w:tc>
          <w:tcPr>
            <w:tcW w:type="dxa" w:w="60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Building all agents before any single one works</w:t>
            </w:r>
          </w:p>
        </w:tc>
        <w:tc>
          <w:tcPr>
            <w:tcW w:type="dxa" w:w="6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Build and test one agent end-to-end first, then add the rest one at a time — already the pattern used in this build</w:t>
            </w:r>
          </w:p>
        </w:tc>
      </w:tr>
      <w:t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Router misclassification silently corrupting downstream output</w:t>
            </w:r>
          </w:p>
        </w:tc>
        <w:tc>
          <w:tcPr>
            <w:tcW w:type="dxa" w:w="6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 the intent label and reason in every trace; treat routing accuracy as its own measured metric</w:t>
            </w:r>
          </w:p>
        </w:tc>
      </w:tr>
      <w:t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Observability deferred until the end of a project</w:t>
            </w:r>
          </w:p>
        </w:tc>
        <w:tc>
          <w:tcPr>
            <w:tcW w:type="dxa" w:w="6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Connect tracing in week 1 of any future agent addition — this build's own delay in doing so for the Router was a lesson learned</w:t>
            </w:r>
          </w:p>
        </w:tc>
      </w:tr>
      <w:t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PM distrust after a single bad draft</w:t>
            </w:r>
          </w:p>
        </w:tc>
        <w:tc>
          <w:tcPr>
            <w:tcW w:type="dxa" w:w="6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Human-in-the-loop review plus source citation on every generated line, so trust is verifiable rather than assumed</w:t>
            </w:r>
          </w:p>
        </w:tc>
      </w:tr>
      <w:t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Scope creep into optional extras (fine-tuning, live board APIs, market analysis)</w:t>
            </w:r>
          </w:p>
        </w:tc>
        <w:tc>
          <w:tcPr>
            <w:tcW w:type="dxa" w:w="6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Explicitly deferred unless evaluation evidence shows a specific, otherwise-unfixable failure</w:t>
            </w:r>
          </w:p>
        </w:tc>
      </w:tr>
    </w:tbl>
    <w:p>
      <w:pPr>
        <w:pStyle w:val="Heading1"/>
        <w:spacing w:after="100" w:before="220"/>
      </w:pPr>
      <w:r>
        <w:t xml:space="preserve">8. Rollout Plan</w:t>
      </w:r>
    </w:p>
    <w:p>
      <w:pPr>
        <w:spacing w:after="100"/>
      </w:pPr>
      <w:r>
        <w:t xml:space="preserve">Rollout proceeds in the three phases described in Section 4, gated on evidence rather than a fixed date: pilot with one PM and one project, expand to the full 10-person PM/TPM team once the pilot holds 100% groundedness and status accuracy for two consecutive weeks, then move to quarterly metric review at steady state. Each new PM's onboarding covers three things specifically: how to read a refusal (INSUFFICIENT_INPUT is correct behavior, not a bug), how to spot-check a draft using its source citations without re-deriving the underlying data by hand, and the standing rule that no client-bound artefact goes out without that PM's own review.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2026-09-27T19:07:39.457Z</dcterms:created>
  <dcterms:modified xsi:type="dcterms:W3CDTF">2026-09-27T19:07:39.457Z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