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Mira — Reflection &amp; Next Steps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AI-Powered Project Intelligence Assistant · Nexora Pvt. Ltd. · Capstone: Applied Agentic AI for PMs/TPMs</w:t>
      </w:r>
    </w:p>
    <w:p>
      <w:pPr>
        <w:spacing w:after="200"/>
      </w:pPr>
      <w:r>
        <w:rPr>
          <w:color w:val="888888"/>
          <w:sz w:val="18"/>
          <w:szCs w:val="18"/>
        </w:rPr>
        <w:t xml:space="preserve">Q4 submission · Author: Rosh</w:t>
      </w:r>
    </w:p>
    <w:p>
      <w:pPr>
        <w:pStyle w:val="Heading1"/>
        <w:spacing w:after="100" w:before="220"/>
      </w:pPr>
      <w:r>
        <w:t xml:space="preserve">Trace Findings</w:t>
      </w:r>
    </w:p>
    <w:p>
      <w:pPr>
        <w:spacing w:after="100"/>
      </w:pPr>
      <w:r>
        <w:t xml:space="preserve">All 12 baseline tests pass, with zero confirmed hallucinations across the set — every fact any agent asserted was traceable to a supplied source file. Five real defects were found during evaluation, and Langfuse's per-agent input/output visibility is what made each one attributable to a specific node rather than a vague “wrong output”: a sprint filter that wasn't reaching the scoped data structures (T5), a config-override reader that mistook a task's own sprint column for a filter (T10), a Risk Assessor refusal that dropped its required follow-up text because the rule sat too deep in the prompt (T4), a Milestone Tracker whose task-board and timeline reads were wired in series instead of parallel — producing 200 duplicated items and silently dropping every task field (T11), and a Planner that returned a different goal list across identical runs (T1, fixed by lowering temperature). None were the model inventing a fact from nothing; all five were either deterministic-layer wiring bugs or prompt-completeness gaps, which is itself informative: the groundedness rules are holding, and the fragile part of this system is the code that feeds them, not the model's judgement.</w:t>
      </w:r>
    </w:p>
    <w:p>
      <w:pPr>
        <w:pStyle w:val="Heading1"/>
        <w:spacing w:after="100" w:before="220"/>
      </w:pPr>
      <w:r>
        <w:t xml:space="preserve">Improvement Plan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an Overdue section to the Milestone Tracker's output template (or explicitly assign overdue reporting to the Status Reporter) — currently CONTEXT supplies overdue data that has no output slot, so it's silently never surfaced by that agent.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Add a severity or probability field to the risk register so a top-N ranking request (T7) can be verified as reasoned rather than positional — right now “top 3” returns the first three rows in file order.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Tighten the Status Reporter's output template to require every non-zero status bucket to list its member tasks, not just a count (T5 returned an accurate but incomplete “To Do 2” without naming which two).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Extend Langfuse tracing to log real token usage as generation metadata on all five components, not just the one run currently captured — this replaces the estimated input/output token counts in the cost analysis with fully measured figures.</w:t>
      </w:r>
    </w:p>
    <w:p>
      <w:pPr>
        <w:pStyle w:val="Heading1"/>
        <w:spacing w:after="100" w:before="220"/>
      </w:pPr>
      <w:r>
        <w:t xml:space="preserve">Evaluation / Fine-Tuning Connection</w:t>
      </w:r>
    </w:p>
    <w:p>
      <w:pPr>
        <w:spacing w:after="100"/>
      </w:pPr>
      <w:r>
        <w:t xml:space="preserve">Fine-tuning was explicitly deferred for v1: the playbook frames it as most valuable for the agent that hallucinates most, and across 12/12 passing baseline tests, no agent hallucinated. If evaluation evidence changes that picture, the Risk Assessor's T7 behavior is the best candidate — its top-N selection is currently positional rather than demonstrably reasoned, which is a shallow-answer risk even though nothing is technically fabricated. 10–15 training pairs of a risk register plus a human-reasoned top-3 selection with stated justification could teach relevance-based ranking instead of file-order defaults. Either way, the validation method is unchanged: any fine-tuned or prompt-edited agent gets re-run against the same 12-case baseline set and compared before-and-after, the identical loop already used for all 5 documented fixes.</w:t>
      </w:r>
    </w:p>
    <w:p>
      <w:pPr>
        <w:pStyle w:val="Heading1"/>
        <w:spacing w:after="100" w:before="220"/>
      </w:pPr>
      <w:r>
        <w:t xml:space="preserve">Privacy Considerations</w:t>
      </w:r>
    </w:p>
    <w:p>
      <w:pPr>
        <w:spacing w:after="100"/>
      </w:pPr>
      <w:r>
        <w:t xml:space="preserve">Project data — descriptions, timelines, risk registers, task boards — stays within n8n and OpenAI; the only other system touched is Langfuse, for tracing. Task-board PII is limited to five first-and-last names already present in the source CSV, but those same names now also appear inside trace payloads sent to Langfuse, which is worth a data-retention review before wider rollout rather than an unexamined default. One lesson from this build is worth carrying forward literally: Langfuse API keys were briefly typed into chat during setup; they were treated as compromised and rotated immediately rather than reused. The standing rule for rollout is that credentials go into a platform's own credential UI, never into a chat window or a shared document. Finally, human-in-the-loop review before any client-bound output is sent functions as a privacy control as much as a quality one — it's the PM's last chance to catch anything that shouldn't reach ABCDE Ltd. before it does.</w:t>
      </w:r>
    </w:p>
    <w:p>
      <w:pPr>
        <w:pStyle w:val="Heading1"/>
        <w:spacing w:after="100" w:before="220"/>
      </w:pPr>
      <w:r>
        <w:t xml:space="preserve">Rollout for 10 PMs/TPMs</w:t>
      </w:r>
    </w:p>
    <w:p>
      <w:pPr>
        <w:spacing w:after="100"/>
      </w:pPr>
      <w:r>
        <w:t xml:space="preserve">Cost is not the constraint: at the grounded per-run figures from the cost analysis (about $0.0006 per pipeline run), 10 PMs each running roughly 20 requests a day costs on the order of $3.70 a month in total, against 1–2 hours of PM time reclaimed per week per person. The actual constraint is trust — BO-6 makes a single bad draft costlier than the tool is worth — so rollout to all 10 is gated on the pilot phase holding zero fabricated facts for two consecutive weeks, not on a calendar date. Onboarding for each new PM should specifically cover three things: reading a refusal as correct behavior rather than a bug, using the source citation on every generated line to spot-check a draft without re-deriving the data by hand, and the non-negotiable rule that no client-bound artefact leaves without that PM's own review.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2026-09-27T19:07:39.461Z</dcterms:created>
  <dcterms:modified xsi:type="dcterms:W3CDTF">2026-09-27T19:07:39.461Z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