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Q1 — Ideation</w:t>
      </w:r>
    </w:p>
    <w:p>
      <w:pPr>
        <w:spacing w:after="130"/>
      </w:pPr>
      <w:r>
        <w:rPr>
          <w:b/>
          <w:bCs/>
          <w:color w:val="1F4E79"/>
          <w:sz w:val="26"/>
          <w:szCs w:val="26"/>
        </w:rPr>
        <w:t xml:space="preserve">Agentic AI Use Cases for PM/TPM Productivity at Nexora Pvt. Ltd.</w:t>
      </w:r>
    </w:p>
    <w:p>
      <w:pPr>
        <w:spacing w:after="130"/>
      </w:pPr>
      <w:r>
        <w:rPr>
          <w:i/>
          <w:iCs/>
          <w:color w:val="555555"/>
        </w:rPr>
        <w:t xml:space="preserve">Capstone: Applied Agentic AI for PMs/TPMs  ·  Project: Mira  ·  15 points</w:t>
      </w:r>
    </w:p>
    <w:p>
      <w:pPr>
        <w:spacing w:after="130"/>
      </w:pPr>
      <w:r>
        <w:rPr>
          <w:i/>
          <w:iCs/>
          <w:color w:val="555555"/>
        </w:rPr>
        <w:t xml:space="preserve">Author: Rosh  ·  Version 1.0</w:t>
      </w:r>
    </w:p>
    <w:p>
      <w:pPr>
        <w:pStyle w:val="Heading1"/>
        <w:spacing w:after="150" w:before="340"/>
      </w:pPr>
      <w:r>
        <w:t xml:space="preserve">Framing</w:t>
      </w:r>
    </w:p>
    <w:p>
      <w:pPr>
        <w:spacing w:after="130"/>
      </w:pPr>
      <w:r>
        <w:t xml:space="preserve">Nexora Pvt. Ltd. runs client delivery with a small PM/TPM function — a handful of people covering multiple concurrent engagements, each owing the client a recurring set of artefacts: project plans, risk matrices, and status reports. The problem statement identifies six operational pain points in that function. Four of them are addressable by agentic AI with the data Nexora already holds, and those four are set out below.</w:t>
      </w:r>
    </w:p>
    <w:p>
      <w:pPr>
        <w:spacing w:after="130"/>
      </w:pPr>
      <w:r>
        <w:t xml:space="preserve">Three of the four are on-demand generators that convert existing project data into a structured artefact. The fourth is structurally different: a scheduled monitor that watches for divergence between plan and reality and interrupts the PM only when something warrants attention. That distinction matters, because the first three save time the PM is currently spending, while the fourth prevents cost the PM is currently absorbing without noticing.</w:t>
      </w:r>
    </w:p>
    <w:p>
      <w:pPr>
        <w:spacing w:after="130"/>
      </w:pPr>
      <w:r>
        <w:rPr>
          <w:b/>
          <w:bCs/>
        </w:rPr>
        <w:t xml:space="preserve">A common constraint runs through all four: every output must be traceable to the project's own files. A generated artefact that contains an invented milestone, risk, or task status is worse than no artefact, because it looks authoritative while transferring a verification burden back onto the PM. Each use case below therefore carries an explicit correctness metric alongside its efficiency metric.</w:t>
      </w:r>
    </w:p>
    <w:p>
      <w:pPr>
        <w:pStyle w:val="Heading1"/>
        <w:spacing w:after="150" w:before="340"/>
      </w:pPr>
      <w:r>
        <w:t xml:space="preserve">UC-1 · Automated Project Plan Generation</w:t>
      </w:r>
    </w:p>
    <w:p>
      <w:pPr>
        <w:spacing w:after="130"/>
      </w:pPr>
      <w:r>
        <w:rPr>
          <w:b/>
          <w:bCs/>
          <w:color w:val="1F4E79"/>
        </w:rPr>
        <w:t xml:space="preserve">Pain point.  </w:t>
      </w:r>
      <w:r>
        <w:t xml:space="preserve">A Nexora PM spends 3–4 hours converting a high-level project description into a structured plan with phases, activities, milestones, and deliverables. Running 3–5 concurrent projects, that is roughly 15 hours per planning cycle spent on structuring and formatting rather than judgement. Because there is no standard template, plans are not comparable across the portfolio, and any scope change means redoing much of the work by hand.</w:t>
      </w:r>
    </w:p>
    <w:p>
      <w:pPr>
        <w:spacing w:after="130"/>
      </w:pPr>
      <w:r>
        <w:rPr>
          <w:b/>
          <w:bCs/>
          <w:color w:val="1F4E79"/>
        </w:rPr>
        <w:t xml:space="preserve">Agentic solution.  </w:t>
      </w:r>
      <w:r>
        <w:t xml:space="preserve">A Planner Agent ingests the project description and timeline and returns a structured plan: phases with week ranges, key activities, milestones, and deliverables. It works closed-book — every phase and milestone must trace to the supplied source. Where the description is too thin to plan from, it returns a clarification request naming the missing fields rather than inventing a plausible plan.</w:t>
      </w:r>
    </w:p>
    <w:p>
      <w:pPr>
        <w:spacing w:after="130"/>
      </w:pPr>
      <w:r>
        <w:rPr>
          <w:b/>
          <w:bCs/>
          <w:color w:val="1F4E79"/>
        </w:rPr>
        <w:t xml:space="preserve">Inputs.  </w:t>
      </w:r>
      <w:r>
        <w:t xml:space="preserve">project_description.txt (prose scope, goals, approach); project_timeline.csv (8 phases with week ranges, activities, milestones). Optionally a library of prior Nexora plans for format precedent.</w:t>
      </w:r>
    </w:p>
    <w:p>
      <w:pPr>
        <w:spacing w:after="130"/>
      </w:pPr>
      <w:r>
        <w:rPr>
          <w:b/>
          <w:bCs/>
          <w:color w:val="1F4E79"/>
        </w:rPr>
        <w:t xml:space="preserve">Outputs.  </w:t>
      </w:r>
      <w:r>
        <w:t xml:space="preserve">A Markdown plan — phase number, name, week range, activities, milestones and deliverables — with a source reference on every row. Or, on insufficient input: INSUFFICIENT_INPUT plus the named missing fields (scope, goals, deliverables, timeline, team size).</w:t>
      </w:r>
    </w:p>
    <w:p>
      <w:pPr>
        <w:spacing w:after="130"/>
      </w:pPr>
      <w:r>
        <w:rPr>
          <w:b/>
          <w:bCs/>
          <w:color w:val="1F4E79"/>
        </w:rPr>
        <w:t xml:space="preserve">Success metrics.</w:t>
      </w:r>
    </w:p>
    <w:p>
      <w:pPr>
        <w:spacing w:after="80"/>
        <w:ind w:left="360"/>
      </w:pPr>
      <w:r>
        <w:rPr>
          <w:b/>
          <w:bCs/>
        </w:rPr>
        <w:t xml:space="preserve">1. </w:t>
      </w:r>
      <w:r>
        <w:rPr>
          <w:b/>
          <w:bCs/>
          <w:i/>
          <w:iCs/>
        </w:rPr>
        <w:t xml:space="preserve">Plan groundedness — </w:t>
      </w:r>
      <w:r>
        <w:t xml:space="preserve">% of generated phases and milestones traceable to source. Target 100%; any breach is a defect, not a miss.</w:t>
      </w:r>
    </w:p>
    <w:p>
      <w:pPr>
        <w:spacing w:after="80"/>
        <w:ind w:left="360"/>
      </w:pPr>
      <w:r>
        <w:rPr>
          <w:b/>
          <w:bCs/>
        </w:rPr>
        <w:t xml:space="preserve">2. </w:t>
      </w:r>
      <w:r>
        <w:rPr>
          <w:b/>
          <w:bCs/>
          <w:i/>
          <w:iCs/>
        </w:rPr>
        <w:t xml:space="preserve">Time to first usable draft — </w:t>
      </w:r>
      <w:r>
        <w:t xml:space="preserve">3–4 hrs manual → under 30 minutes of PM review and edit.</w:t>
      </w:r>
    </w:p>
    <w:p>
      <w:pPr>
        <w:spacing w:after="80"/>
        <w:ind w:left="360"/>
      </w:pPr>
      <w:r>
        <w:rPr>
          <w:b/>
          <w:bCs/>
        </w:rPr>
        <w:t xml:space="preserve">3. </w:t>
      </w:r>
      <w:r>
        <w:rPr>
          <w:b/>
          <w:bCs/>
          <w:i/>
          <w:iCs/>
        </w:rPr>
        <w:t xml:space="preserve">Refusal correctness — </w:t>
      </w:r>
      <w:r>
        <w:t xml:space="preserve">% of underspecified requests correctly refused rather than fabricated (baseline cases T2, T9). Target 100%.</w:t>
      </w:r>
    </w:p>
    <w:p>
      <w:pPr>
        <w:spacing w:after="130"/>
      </w:pPr>
      <w:r>
        <w:rPr>
          <w:b/>
          <w:bCs/>
          <w:color w:val="1F4E79"/>
        </w:rPr>
        <w:t xml:space="preserve">Knowledge base required.  </w:t>
      </w:r>
      <w:r>
        <w:t xml:space="preserve">The project description and timeline for the target project; a defined plan schema specifying the required output fields; and optionally an archive of past Nexora project plans to anchor house format.</w:t>
      </w:r>
    </w:p>
    <w:p>
      <w:pPr>
        <w:pStyle w:val="Heading1"/>
        <w:spacing w:after="150" w:before="340"/>
      </w:pPr>
      <w:r>
        <w:t xml:space="preserve">UC-2 · Automated Weekly Status Reporting</w:t>
      </w:r>
    </w:p>
    <w:p>
      <w:pPr>
        <w:spacing w:after="130"/>
      </w:pPr>
      <w:r>
        <w:rPr>
          <w:b/>
          <w:bCs/>
          <w:color w:val="1F4E79"/>
        </w:rPr>
        <w:t xml:space="preserve">Pain point.  </w:t>
      </w:r>
      <w:r>
        <w:t xml:space="preserve">Compiling one weekly status report from a task board takes a Nexora PM 1–2 hours. Unlike planning, this cost recurs every week for every active project — across 3–5 projects that is 3–10 hours weekly, indefinitely. The work is mechanical (reading the board, counting by status, spotting blockers, writing it up) but error-prone: miscounts and missed blockers are common, and each PM formats reports differently, so the client sees inconsistent artefacts across engagements.</w:t>
      </w:r>
    </w:p>
    <w:p>
      <w:pPr>
        <w:spacing w:after="130"/>
      </w:pPr>
      <w:r>
        <w:rPr>
          <w:b/>
          <w:bCs/>
          <w:color w:val="1F4E79"/>
        </w:rPr>
        <w:t xml:space="preserve">Agentic solution.  </w:t>
      </w:r>
      <w:r>
        <w:t xml:space="preserve">A Status Reporter Agent, fronted by a deterministic data-preparation step. All counting, sprint filtering, and due-date comparison happen in code; the agent receives finished figures and writes the narrative around them. Output covers completed work, work in progress, blocked items with their stated reasons, upcoming milestones, and an overall health assessment. The same underlying facts can be rendered for different audiences — leadership, engineering, or client — which absorbs stakeholder-update generation as a formatting variant rather than a separate agent.</w:t>
      </w:r>
    </w:p>
    <w:p>
      <w:pPr>
        <w:spacing w:after="130"/>
      </w:pPr>
      <w:r>
        <w:rPr>
          <w:b/>
          <w:bCs/>
          <w:color w:val="1F4E79"/>
        </w:rPr>
        <w:t xml:space="preserve">Inputs.  </w:t>
      </w:r>
      <w:r>
        <w:t xml:space="preserve">sample_task_board.csv (25 tasks with status, assignee, priority, sprint, due date, description); a sprint or date-range filter; an explicit reference date; and project_timeline.csv for upcoming-milestone context.</w:t>
      </w:r>
    </w:p>
    <w:p>
      <w:pPr>
        <w:spacing w:after="130"/>
      </w:pPr>
      <w:r>
        <w:rPr>
          <w:b/>
          <w:bCs/>
          <w:color w:val="1F4E79"/>
        </w:rPr>
        <w:t xml:space="preserve">Outputs.  </w:t>
      </w:r>
      <w:r>
        <w:t xml:space="preserve">A Markdown status report with exact counts by status, named tasks, blockers with reasons, upcoming milestones, and a health rating — plus audience-specific variants asserting identical facts at different depth. Where no task data is supplied, an explicit statement to that effect and nothing else.</w:t>
      </w:r>
    </w:p>
    <w:p>
      <w:pPr>
        <w:spacing w:after="130"/>
      </w:pPr>
      <w:r>
        <w:rPr>
          <w:b/>
          <w:bCs/>
          <w:color w:val="1F4E79"/>
        </w:rPr>
        <w:t xml:space="preserve">Success metrics.</w:t>
      </w:r>
    </w:p>
    <w:p>
      <w:pPr>
        <w:spacing w:after="80"/>
        <w:ind w:left="360"/>
      </w:pPr>
      <w:r>
        <w:rPr>
          <w:b/>
          <w:bCs/>
        </w:rPr>
        <w:t xml:space="preserve">1. </w:t>
      </w:r>
      <w:r>
        <w:rPr>
          <w:b/>
          <w:bCs/>
          <w:i/>
          <w:iCs/>
        </w:rPr>
        <w:t xml:space="preserve">Status accuracy — </w:t>
      </w:r>
      <w:r>
        <w:t xml:space="preserve">% of reported counts matching the board exactly. Target 100%, achieved by construction since counting is deterministic (baseline case T10: Done 5, In Progress 3, To Do 16, Blocked 1).</w:t>
      </w:r>
    </w:p>
    <w:p>
      <w:pPr>
        <w:spacing w:after="80"/>
        <w:ind w:left="360"/>
      </w:pPr>
      <w:r>
        <w:rPr>
          <w:b/>
          <w:bCs/>
        </w:rPr>
        <w:t xml:space="preserve">2. </w:t>
      </w:r>
      <w:r>
        <w:rPr>
          <w:b/>
          <w:bCs/>
          <w:i/>
          <w:iCs/>
        </w:rPr>
        <w:t xml:space="preserve">Time per report — </w:t>
      </w:r>
      <w:r>
        <w:t xml:space="preserve">1–2 hrs manual → under 15 minutes of review.</w:t>
      </w:r>
    </w:p>
    <w:p>
      <w:pPr>
        <w:spacing w:after="80"/>
        <w:ind w:left="360"/>
      </w:pPr>
      <w:r>
        <w:rPr>
          <w:b/>
          <w:bCs/>
        </w:rPr>
        <w:t xml:space="preserve">3. </w:t>
      </w:r>
      <w:r>
        <w:rPr>
          <w:b/>
          <w:bCs/>
          <w:i/>
          <w:iCs/>
        </w:rPr>
        <w:t xml:space="preserve">Blocker detection recall — </w:t>
      </w:r>
      <w:r>
        <w:t xml:space="preserve">% of blocked or at-risk items correctly surfaced, including T024 (Security review, awaiting security team availability). Target 100%; a missed blocker is the failure mode that erodes client trust fastest.</w:t>
      </w:r>
    </w:p>
    <w:p>
      <w:pPr>
        <w:spacing w:after="130"/>
      </w:pPr>
      <w:r>
        <w:rPr>
          <w:b/>
          <w:bCs/>
          <w:color w:val="1F4E79"/>
        </w:rPr>
        <w:t xml:space="preserve">Knowledge base required.  </w:t>
      </w:r>
      <w:r>
        <w:t xml:space="preserve">The task board export; the project timeline for milestone context; a declared reference date and sprint calendar; the report schema; and audience profiles defining depth and tone per recipient type.</w:t>
      </w:r>
    </w:p>
    <w:p>
      <w:pPr>
        <w:pStyle w:val="Heading1"/>
        <w:spacing w:after="150" w:before="340"/>
      </w:pPr>
      <w:r>
        <w:t xml:space="preserve">UC-3 · Standardized Risk Assessment</w:t>
      </w:r>
    </w:p>
    <w:p>
      <w:pPr>
        <w:spacing w:after="130"/>
      </w:pPr>
      <w:r>
        <w:rPr>
          <w:b/>
          <w:bCs/>
          <w:color w:val="1F4E79"/>
        </w:rPr>
        <w:t xml:space="preserve">Pain point.  </w:t>
      </w:r>
      <w:r>
        <w:t xml:space="preserve">Risk assessment at Nexora is inconsistent by admission — some projects carry detailed risk matrices, others have none at all. There is no shared taxonomy, so where matrices do exist they are not comparable across the portfolio, and leadership cannot aggregate exposure. Registers also go stale: written once at kickoff, rarely revisited. The consequence is unmanaged risk on the projects that skipped the exercise, and no early signal on the ones that did not.</w:t>
      </w:r>
    </w:p>
    <w:p>
      <w:pPr>
        <w:spacing w:after="130"/>
      </w:pPr>
      <w:r>
        <w:rPr>
          <w:b/>
          <w:bCs/>
          <w:color w:val="1F4E79"/>
        </w:rPr>
        <w:t xml:space="preserve">Agentic solution.  </w:t>
      </w:r>
      <w:r>
        <w:t xml:space="preserve">A Risk Assessor Agent that produces a categorized matrix — category, risk description, potential impact, mitigation strategy — for any project, making the exercise cheap enough that no project skips it. It works from the project's own risk register and description, and is explicitly barred from padding output with generic "AI project" risks, which is the failure mode that makes generated risk documents worthless. Where a project has no register and no substantive description, it asks for details rather than manufacturing a plausible matrix. A secondary function flags taxonomy coverage gaps — categories with no entry — which converts the agent from a generator into a completeness check.</w:t>
      </w:r>
    </w:p>
    <w:p>
      <w:pPr>
        <w:spacing w:after="130"/>
      </w:pPr>
      <w:r>
        <w:rPr>
          <w:b/>
          <w:bCs/>
          <w:color w:val="1F4E79"/>
        </w:rPr>
        <w:t xml:space="preserve">Inputs.  </w:t>
      </w:r>
      <w:r>
        <w:t xml:space="preserve">project_description.txt; project_risks.csv (10 categorized rows, R01–R10, each with impact and mitigation). Optionally a standard risk taxonomy and prior project registers for precedent.</w:t>
      </w:r>
    </w:p>
    <w:p>
      <w:pPr>
        <w:spacing w:after="130"/>
      </w:pPr>
      <w:r>
        <w:rPr>
          <w:b/>
          <w:bCs/>
          <w:color w:val="1F4E79"/>
        </w:rPr>
        <w:t xml:space="preserve">Outputs.  </w:t>
      </w:r>
      <w:r>
        <w:t xml:space="preserve">A Markdown risk matrix with a source citation per row (register row ID, or the description sentence evidencing it), plus a coverage note on uncovered categories. Or INSUFFICIENT_INPUT with a request for project details.</w:t>
      </w:r>
    </w:p>
    <w:p>
      <w:pPr>
        <w:spacing w:after="130"/>
      </w:pPr>
      <w:r>
        <w:rPr>
          <w:b/>
          <w:bCs/>
          <w:color w:val="1F4E79"/>
        </w:rPr>
        <w:t xml:space="preserve">Success metrics.</w:t>
      </w:r>
    </w:p>
    <w:p>
      <w:pPr>
        <w:spacing w:after="80"/>
        <w:ind w:left="360"/>
      </w:pPr>
      <w:r>
        <w:rPr>
          <w:b/>
          <w:bCs/>
        </w:rPr>
        <w:t xml:space="preserve">1. </w:t>
      </w:r>
      <w:r>
        <w:rPr>
          <w:b/>
          <w:bCs/>
          <w:i/>
          <w:iCs/>
        </w:rPr>
        <w:t xml:space="preserve">Risk relevance — </w:t>
      </w:r>
      <w:r>
        <w:t xml:space="preserve">% of generated risks specific to this project rather than generic boilerplate. Target ≥ 90%; measured against the supplied register and description.</w:t>
      </w:r>
    </w:p>
    <w:p>
      <w:pPr>
        <w:spacing w:after="80"/>
        <w:ind w:left="360"/>
      </w:pPr>
      <w:r>
        <w:rPr>
          <w:b/>
          <w:bCs/>
        </w:rPr>
        <w:t xml:space="preserve">2. </w:t>
      </w:r>
      <w:r>
        <w:rPr>
          <w:b/>
          <w:bCs/>
          <w:i/>
          <w:iCs/>
        </w:rPr>
        <w:t xml:space="preserve">Portfolio coverage — </w:t>
      </w:r>
      <w:r>
        <w:t xml:space="preserve">% of active projects holding a complete risk matrix with all required fields. Target 100%, which addresses the "some projects have none" pain directly.</w:t>
      </w:r>
    </w:p>
    <w:p>
      <w:pPr>
        <w:spacing w:after="80"/>
        <w:ind w:left="360"/>
      </w:pPr>
      <w:r>
        <w:rPr>
          <w:b/>
          <w:bCs/>
        </w:rPr>
        <w:t xml:space="preserve">3. </w:t>
      </w:r>
      <w:r>
        <w:rPr>
          <w:b/>
          <w:bCs/>
          <w:i/>
          <w:iCs/>
        </w:rPr>
        <w:t xml:space="preserve">Refusal correctness — </w:t>
      </w:r>
      <w:r>
        <w:t xml:space="preserve">% of detail-free requests correctly refused (baseline case T4). Target 100%.</w:t>
      </w:r>
    </w:p>
    <w:p>
      <w:pPr>
        <w:spacing w:after="130"/>
      </w:pPr>
      <w:r>
        <w:rPr>
          <w:b/>
          <w:bCs/>
          <w:color w:val="1F4E79"/>
        </w:rPr>
        <w:t xml:space="preserve">Knowledge base required.  </w:t>
      </w:r>
      <w:r>
        <w:t xml:space="preserve">The project description and risk register; a risk category taxonomy defining the standard dimensions; and an archive of prior registers to anchor phrasing and severity conventions.</w:t>
      </w:r>
    </w:p>
    <w:p>
      <w:pPr>
        <w:pStyle w:val="Heading1"/>
        <w:spacing w:after="150" w:before="340"/>
      </w:pPr>
      <w:r>
        <w:t xml:space="preserve">UC-4 · Proactive Milestone and Blocker Surveillance</w:t>
      </w:r>
    </w:p>
    <w:p>
      <w:pPr>
        <w:spacing w:after="130"/>
      </w:pPr>
      <w:r>
        <w:rPr>
          <w:b/>
          <w:bCs/>
          <w:color w:val="1F4E79"/>
        </w:rPr>
        <w:t xml:space="preserve">Pain point.  </w:t>
      </w:r>
      <w:r>
        <w:t xml:space="preserve">Nexora PMs currently discover slippage in retrospectives — after the fact, when the only available response is explanation rather than correction. Nothing watches the gap between the planned timeline and actual task progress. A blocked task can sit unresolved for weeks (the ABCDE board's security review, T024, is blocked pending another team's availability with no automatic escalation), and a milestone can pass its window before anyone notices. This is the one pain in the list that is not about time spent — it is about time lost.</w:t>
      </w:r>
    </w:p>
    <w:p>
      <w:pPr>
        <w:spacing w:after="130"/>
      </w:pPr>
      <w:r>
        <w:rPr>
          <w:b/>
          <w:bCs/>
          <w:color w:val="1F4E79"/>
        </w:rPr>
        <w:t xml:space="preserve">Agentic solution.  </w:t>
      </w:r>
      <w:r>
        <w:t xml:space="preserve">A Milestone Tracker that runs on a schedule rather than on request. It compares the project timeline against current task-board state as of a declared reference date, and pushes a digest of at-risk milestones, each with the reason it is flagged and a suggested action. Structurally this is the inverse of UC-1 through UC-3: those are on-demand generators the PM invokes, whereas this monitors continuously and interrupts the PM only when something warrants attention. It is also explicitly permitted to report an empty result — an agent that must always find something to flag will manufacture concern.</w:t>
      </w:r>
    </w:p>
    <w:p>
      <w:pPr>
        <w:spacing w:after="130"/>
      </w:pPr>
      <w:r>
        <w:rPr>
          <w:b/>
          <w:bCs/>
          <w:color w:val="1F4E79"/>
        </w:rPr>
        <w:t xml:space="preserve">Inputs.  </w:t>
      </w:r>
      <w:r>
        <w:t xml:space="preserve">project_timeline.csv (8 phases with week ranges and milestones); sample_task_board.csv (statuses and due dates); an explicit reference date; and a declared project start anchor, since the timeline uses relative week numbers while the board uses absolute dates.</w:t>
      </w:r>
    </w:p>
    <w:p>
      <w:pPr>
        <w:spacing w:after="130"/>
      </w:pPr>
      <w:r>
        <w:rPr>
          <w:b/>
          <w:bCs/>
          <w:color w:val="1F4E79"/>
        </w:rPr>
        <w:t xml:space="preserve">Outputs.  </w:t>
      </w:r>
      <w:r>
        <w:t xml:space="preserve">A scheduled alert digest: at-risk milestones with reason and recommended action; blocked tasks with their stated cause and duration; overdue in-progress items. Where nothing is at risk, an explicit all-clear.</w:t>
      </w:r>
    </w:p>
    <w:p>
      <w:pPr>
        <w:spacing w:after="130"/>
      </w:pPr>
      <w:r>
        <w:rPr>
          <w:b/>
          <w:bCs/>
          <w:color w:val="1F4E79"/>
        </w:rPr>
        <w:t xml:space="preserve">Success metrics.</w:t>
      </w:r>
    </w:p>
    <w:p>
      <w:pPr>
        <w:spacing w:after="80"/>
        <w:ind w:left="360"/>
      </w:pPr>
      <w:r>
        <w:rPr>
          <w:b/>
          <w:bCs/>
        </w:rPr>
        <w:t xml:space="preserve">1. </w:t>
      </w:r>
      <w:r>
        <w:rPr>
          <w:b/>
          <w:bCs/>
          <w:i/>
          <w:iCs/>
        </w:rPr>
        <w:t xml:space="preserve">Early warning lead time — </w:t>
      </w:r>
      <w:r>
        <w:t xml:space="preserve">Median days between a flag being raised and the milestone's due date. Target ≥ 7 days; the whole value of the use case is in this number being positive.</w:t>
      </w:r>
    </w:p>
    <w:p>
      <w:pPr>
        <w:spacing w:after="80"/>
        <w:ind w:left="360"/>
      </w:pPr>
      <w:r>
        <w:rPr>
          <w:b/>
          <w:bCs/>
        </w:rPr>
        <w:t xml:space="preserve">2. </w:t>
      </w:r>
      <w:r>
        <w:rPr>
          <w:b/>
          <w:bCs/>
          <w:i/>
          <w:iCs/>
        </w:rPr>
        <w:t xml:space="preserve">Alert precision — </w:t>
      </w:r>
      <w:r>
        <w:t xml:space="preserve">% of flagged items the PM confirms as genuine concerns. Target ≥ 80%, guarding against the alert fatigue that kills monitoring tools.</w:t>
      </w:r>
    </w:p>
    <w:p>
      <w:pPr>
        <w:spacing w:after="80"/>
        <w:ind w:left="360"/>
      </w:pPr>
      <w:r>
        <w:rPr>
          <w:b/>
          <w:bCs/>
        </w:rPr>
        <w:t xml:space="preserve">3. </w:t>
      </w:r>
      <w:r>
        <w:rPr>
          <w:b/>
          <w:bCs/>
          <w:i/>
          <w:iCs/>
        </w:rPr>
        <w:t xml:space="preserve">Escaped slippage rate — </w:t>
      </w:r>
      <w:r>
        <w:t xml:space="preserve">% of missed milestones that were never flagged in advance. Target 0%; this is the metric that maps directly to the original pain.</w:t>
      </w:r>
    </w:p>
    <w:p>
      <w:pPr>
        <w:spacing w:after="130"/>
      </w:pPr>
      <w:r>
        <w:rPr>
          <w:b/>
          <w:bCs/>
          <w:color w:val="1F4E79"/>
        </w:rPr>
        <w:t xml:space="preserve">Knowledge base required.  </w:t>
      </w:r>
      <w:r>
        <w:t xml:space="preserve">Timeline and task board; the reference date and project start anchor; escalation thresholds defining what qualifies as at-risk; and routing rules for who receives which alert.</w:t>
      </w:r>
    </w:p>
    <w:p>
      <w:pPr>
        <w:pStyle w:val="Heading1"/>
        <w:spacing w:after="150" w:before="340"/>
      </w:pPr>
      <w:r>
        <w:t xml:space="preserve">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780"/>
      </w:tblGrid>
      <w:tr>
        <w:trPr>
          <w:tblHeader/>
        </w:trPr>
        <w:tc>
          <w:tcPr>
            <w:tcW w:type="dxa" w:w="1500"/>
            <w:shd w:fill="D9E6F2" w:val="clear"/>
            <w:tcMar>
              <w:top w:type="dxa" w:w="70"/>
              <w:left w:type="dxa" w:w="90"/>
              <w:bottom w:type="dxa" w:w="70"/>
              <w:right w:type="dxa" w:w="90"/>
            </w:tcMar>
          </w:tcPr>
          <w:p>
            <w:r>
              <w:rPr>
                <w:b/>
                <w:bCs/>
                <w:sz w:val="18"/>
                <w:szCs w:val="18"/>
              </w:rPr>
              <w:t xml:space="preserve">Use Case</w:t>
            </w:r>
          </w:p>
        </w:tc>
        <w:tc>
          <w:tcPr>
            <w:tcW w:type="dxa" w:w="2600"/>
            <w:shd w:fill="D9E6F2" w:val="clear"/>
            <w:tcMar>
              <w:top w:type="dxa" w:w="70"/>
              <w:left w:type="dxa" w:w="90"/>
              <w:bottom w:type="dxa" w:w="70"/>
              <w:right w:type="dxa" w:w="90"/>
            </w:tcMar>
          </w:tcPr>
          <w:p>
            <w:r>
              <w:rPr>
                <w:b/>
                <w:bCs/>
                <w:sz w:val="18"/>
                <w:szCs w:val="18"/>
              </w:rPr>
              <w:t xml:space="preserve">Pain Addressed</w:t>
            </w:r>
          </w:p>
        </w:tc>
        <w:tc>
          <w:tcPr>
            <w:tcW w:type="dxa" w:w="3200"/>
            <w:shd w:fill="D9E6F2" w:val="clear"/>
            <w:tcMar>
              <w:top w:type="dxa" w:w="70"/>
              <w:left w:type="dxa" w:w="90"/>
              <w:bottom w:type="dxa" w:w="70"/>
              <w:right w:type="dxa" w:w="90"/>
            </w:tcMar>
          </w:tcPr>
          <w:p>
            <w:r>
              <w:rPr>
                <w:b/>
                <w:bCs/>
                <w:sz w:val="18"/>
                <w:szCs w:val="18"/>
              </w:rPr>
              <w:t xml:space="preserve">Agent Type</w:t>
            </w:r>
          </w:p>
        </w:tc>
        <w:tc>
          <w:tcPr>
            <w:tcW w:type="dxa" w:w="2780"/>
            <w:shd w:fill="D9E6F2" w:val="clear"/>
            <w:tcMar>
              <w:top w:type="dxa" w:w="70"/>
              <w:left w:type="dxa" w:w="90"/>
              <w:bottom w:type="dxa" w:w="70"/>
              <w:right w:type="dxa" w:w="90"/>
            </w:tcMar>
          </w:tcPr>
          <w:p>
            <w:r>
              <w:rPr>
                <w:b/>
                <w:bCs/>
                <w:sz w:val="18"/>
                <w:szCs w:val="18"/>
              </w:rPr>
              <w:t xml:space="preserve">Headline Metric</w:t>
            </w:r>
          </w:p>
        </w:tc>
      </w:tr>
      <w:tr>
        <w:tc>
          <w:tcPr>
            <w:tcW w:type="dxa" w:w="1500"/>
            <w:tcMar>
              <w:top w:type="dxa" w:w="70"/>
              <w:left w:type="dxa" w:w="90"/>
              <w:bottom w:type="dxa" w:w="70"/>
              <w:right w:type="dxa" w:w="90"/>
            </w:tcMar>
          </w:tcPr>
          <w:p>
            <w:r>
              <w:rPr>
                <w:b w:val="false"/>
                <w:bCs w:val="false"/>
                <w:sz w:val="18"/>
                <w:szCs w:val="18"/>
              </w:rPr>
              <w:t xml:space="preserve">UC-1</w:t>
            </w:r>
          </w:p>
        </w:tc>
        <w:tc>
          <w:tcPr>
            <w:tcW w:type="dxa" w:w="2600"/>
            <w:tcMar>
              <w:top w:type="dxa" w:w="70"/>
              <w:left w:type="dxa" w:w="90"/>
              <w:bottom w:type="dxa" w:w="70"/>
              <w:right w:type="dxa" w:w="90"/>
            </w:tcMar>
          </w:tcPr>
          <w:p>
            <w:r>
              <w:rPr>
                <w:b w:val="false"/>
                <w:bCs w:val="false"/>
                <w:sz w:val="18"/>
                <w:szCs w:val="18"/>
              </w:rPr>
              <w:t xml:space="preserve">3–4 hrs per project plan</w:t>
            </w:r>
          </w:p>
        </w:tc>
        <w:tc>
          <w:tcPr>
            <w:tcW w:type="dxa" w:w="3200"/>
            <w:tcMar>
              <w:top w:type="dxa" w:w="70"/>
              <w:left w:type="dxa" w:w="90"/>
              <w:bottom w:type="dxa" w:w="70"/>
              <w:right w:type="dxa" w:w="90"/>
            </w:tcMar>
          </w:tcPr>
          <w:p>
            <w:r>
              <w:rPr>
                <w:b w:val="false"/>
                <w:bCs w:val="false"/>
                <w:sz w:val="18"/>
                <w:szCs w:val="18"/>
              </w:rPr>
              <w:t xml:space="preserve">On-demand generator (Planner)</w:t>
            </w:r>
          </w:p>
        </w:tc>
        <w:tc>
          <w:tcPr>
            <w:tcW w:type="dxa" w:w="2780"/>
            <w:tcMar>
              <w:top w:type="dxa" w:w="70"/>
              <w:left w:type="dxa" w:w="90"/>
              <w:bottom w:type="dxa" w:w="70"/>
              <w:right w:type="dxa" w:w="90"/>
            </w:tcMar>
          </w:tcPr>
          <w:p>
            <w:r>
              <w:rPr>
                <w:b w:val="false"/>
                <w:bCs w:val="false"/>
                <w:sz w:val="18"/>
                <w:szCs w:val="18"/>
              </w:rPr>
              <w:t xml:space="preserve">Plan groundedness 100%</w:t>
            </w:r>
          </w:p>
        </w:tc>
      </w:tr>
      <w:tr>
        <w:tc>
          <w:tcPr>
            <w:tcW w:type="dxa" w:w="1500"/>
            <w:tcMar>
              <w:top w:type="dxa" w:w="70"/>
              <w:left w:type="dxa" w:w="90"/>
              <w:bottom w:type="dxa" w:w="70"/>
              <w:right w:type="dxa" w:w="90"/>
            </w:tcMar>
          </w:tcPr>
          <w:p>
            <w:r>
              <w:rPr>
                <w:b w:val="false"/>
                <w:bCs w:val="false"/>
                <w:sz w:val="18"/>
                <w:szCs w:val="18"/>
              </w:rPr>
              <w:t xml:space="preserve">UC-2</w:t>
            </w:r>
          </w:p>
        </w:tc>
        <w:tc>
          <w:tcPr>
            <w:tcW w:type="dxa" w:w="2600"/>
            <w:tcMar>
              <w:top w:type="dxa" w:w="70"/>
              <w:left w:type="dxa" w:w="90"/>
              <w:bottom w:type="dxa" w:w="70"/>
              <w:right w:type="dxa" w:w="90"/>
            </w:tcMar>
          </w:tcPr>
          <w:p>
            <w:r>
              <w:rPr>
                <w:b w:val="false"/>
                <w:bCs w:val="false"/>
                <w:sz w:val="18"/>
                <w:szCs w:val="18"/>
              </w:rPr>
              <w:t xml:space="preserve">1–2 hrs per weekly report</w:t>
            </w:r>
          </w:p>
        </w:tc>
        <w:tc>
          <w:tcPr>
            <w:tcW w:type="dxa" w:w="3200"/>
            <w:tcMar>
              <w:top w:type="dxa" w:w="70"/>
              <w:left w:type="dxa" w:w="90"/>
              <w:bottom w:type="dxa" w:w="70"/>
              <w:right w:type="dxa" w:w="90"/>
            </w:tcMar>
          </w:tcPr>
          <w:p>
            <w:r>
              <w:rPr>
                <w:b w:val="false"/>
                <w:bCs w:val="false"/>
                <w:sz w:val="18"/>
                <w:szCs w:val="18"/>
              </w:rPr>
              <w:t xml:space="preserve">On-demand generator (Status Reporter)</w:t>
            </w:r>
          </w:p>
        </w:tc>
        <w:tc>
          <w:tcPr>
            <w:tcW w:type="dxa" w:w="2780"/>
            <w:tcMar>
              <w:top w:type="dxa" w:w="70"/>
              <w:left w:type="dxa" w:w="90"/>
              <w:bottom w:type="dxa" w:w="70"/>
              <w:right w:type="dxa" w:w="90"/>
            </w:tcMar>
          </w:tcPr>
          <w:p>
            <w:r>
              <w:rPr>
                <w:b w:val="false"/>
                <w:bCs w:val="false"/>
                <w:sz w:val="18"/>
                <w:szCs w:val="18"/>
              </w:rPr>
              <w:t xml:space="preserve">Status accuracy 100%</w:t>
            </w:r>
          </w:p>
        </w:tc>
      </w:tr>
      <w:tr>
        <w:tc>
          <w:tcPr>
            <w:tcW w:type="dxa" w:w="1500"/>
            <w:tcMar>
              <w:top w:type="dxa" w:w="70"/>
              <w:left w:type="dxa" w:w="90"/>
              <w:bottom w:type="dxa" w:w="70"/>
              <w:right w:type="dxa" w:w="90"/>
            </w:tcMar>
          </w:tcPr>
          <w:p>
            <w:r>
              <w:rPr>
                <w:b w:val="false"/>
                <w:bCs w:val="false"/>
                <w:sz w:val="18"/>
                <w:szCs w:val="18"/>
              </w:rPr>
              <w:t xml:space="preserve">UC-3</w:t>
            </w:r>
          </w:p>
        </w:tc>
        <w:tc>
          <w:tcPr>
            <w:tcW w:type="dxa" w:w="2600"/>
            <w:tcMar>
              <w:top w:type="dxa" w:w="70"/>
              <w:left w:type="dxa" w:w="90"/>
              <w:bottom w:type="dxa" w:w="70"/>
              <w:right w:type="dxa" w:w="90"/>
            </w:tcMar>
          </w:tcPr>
          <w:p>
            <w:r>
              <w:rPr>
                <w:b w:val="false"/>
                <w:bCs w:val="false"/>
                <w:sz w:val="18"/>
                <w:szCs w:val="18"/>
              </w:rPr>
              <w:t xml:space="preserve">Inconsistent / absent risk matrices</w:t>
            </w:r>
          </w:p>
        </w:tc>
        <w:tc>
          <w:tcPr>
            <w:tcW w:type="dxa" w:w="3200"/>
            <w:tcMar>
              <w:top w:type="dxa" w:w="70"/>
              <w:left w:type="dxa" w:w="90"/>
              <w:bottom w:type="dxa" w:w="70"/>
              <w:right w:type="dxa" w:w="90"/>
            </w:tcMar>
          </w:tcPr>
          <w:p>
            <w:r>
              <w:rPr>
                <w:b w:val="false"/>
                <w:bCs w:val="false"/>
                <w:sz w:val="18"/>
                <w:szCs w:val="18"/>
              </w:rPr>
              <w:t xml:space="preserve">On-demand generator (Risk Assessor)</w:t>
            </w:r>
          </w:p>
        </w:tc>
        <w:tc>
          <w:tcPr>
            <w:tcW w:type="dxa" w:w="2780"/>
            <w:tcMar>
              <w:top w:type="dxa" w:w="70"/>
              <w:left w:type="dxa" w:w="90"/>
              <w:bottom w:type="dxa" w:w="70"/>
              <w:right w:type="dxa" w:w="90"/>
            </w:tcMar>
          </w:tcPr>
          <w:p>
            <w:r>
              <w:rPr>
                <w:b w:val="false"/>
                <w:bCs w:val="false"/>
                <w:sz w:val="18"/>
                <w:szCs w:val="18"/>
              </w:rPr>
              <w:t xml:space="preserve">Portfolio coverage 100%</w:t>
            </w:r>
          </w:p>
        </w:tc>
      </w:tr>
      <w:tr>
        <w:tc>
          <w:tcPr>
            <w:tcW w:type="dxa" w:w="1500"/>
            <w:tcMar>
              <w:top w:type="dxa" w:w="70"/>
              <w:left w:type="dxa" w:w="90"/>
              <w:bottom w:type="dxa" w:w="70"/>
              <w:right w:type="dxa" w:w="90"/>
            </w:tcMar>
          </w:tcPr>
          <w:p>
            <w:r>
              <w:rPr>
                <w:b w:val="false"/>
                <w:bCs w:val="false"/>
                <w:sz w:val="18"/>
                <w:szCs w:val="18"/>
              </w:rPr>
              <w:t xml:space="preserve">UC-4</w:t>
            </w:r>
          </w:p>
        </w:tc>
        <w:tc>
          <w:tcPr>
            <w:tcW w:type="dxa" w:w="2600"/>
            <w:tcMar>
              <w:top w:type="dxa" w:w="70"/>
              <w:left w:type="dxa" w:w="90"/>
              <w:bottom w:type="dxa" w:w="70"/>
              <w:right w:type="dxa" w:w="90"/>
            </w:tcMar>
          </w:tcPr>
          <w:p>
            <w:r>
              <w:rPr>
                <w:b w:val="false"/>
                <w:bCs w:val="false"/>
                <w:sz w:val="18"/>
                <w:szCs w:val="18"/>
              </w:rPr>
              <w:t xml:space="preserve">Slippage found only in retrospectives</w:t>
            </w:r>
          </w:p>
        </w:tc>
        <w:tc>
          <w:tcPr>
            <w:tcW w:type="dxa" w:w="3200"/>
            <w:tcMar>
              <w:top w:type="dxa" w:w="70"/>
              <w:left w:type="dxa" w:w="90"/>
              <w:bottom w:type="dxa" w:w="70"/>
              <w:right w:type="dxa" w:w="90"/>
            </w:tcMar>
          </w:tcPr>
          <w:p>
            <w:r>
              <w:rPr>
                <w:b w:val="false"/>
                <w:bCs w:val="false"/>
                <w:sz w:val="18"/>
                <w:szCs w:val="18"/>
              </w:rPr>
              <w:t xml:space="preserve">Scheduled monitor (Milestone Tracker)</w:t>
            </w:r>
          </w:p>
        </w:tc>
        <w:tc>
          <w:tcPr>
            <w:tcW w:type="dxa" w:w="2780"/>
            <w:tcMar>
              <w:top w:type="dxa" w:w="70"/>
              <w:left w:type="dxa" w:w="90"/>
              <w:bottom w:type="dxa" w:w="70"/>
              <w:right w:type="dxa" w:w="90"/>
            </w:tcMar>
          </w:tcPr>
          <w:p>
            <w:r>
              <w:rPr>
                <w:b w:val="false"/>
                <w:bCs w:val="false"/>
                <w:sz w:val="18"/>
                <w:szCs w:val="18"/>
              </w:rPr>
              <w:t xml:space="preserve">Escaped slippage 0%</w:t>
            </w:r>
          </w:p>
        </w:tc>
      </w:tr>
    </w:tbl>
    <w:p>
      <w:pPr>
        <w:pStyle w:val="Heading1"/>
        <w:spacing w:after="150" w:before="340"/>
      </w:pPr>
      <w:r>
        <w:t xml:space="preserve">Assumptions and Risks</w:t>
      </w:r>
    </w:p>
    <w:p>
      <w:pPr>
        <w:spacing w:after="130"/>
      </w:pPr>
      <w:r>
        <w:rPr>
          <w:b/>
          <w:bCs/>
          <w:color w:val="1F4E79"/>
        </w:rPr>
        <w:t xml:space="preserve">Assumptions.</w:t>
      </w:r>
    </w:p>
    <w:p>
      <w:pPr>
        <w:pStyle w:val="ListParagraph"/>
        <w:numPr>
          <w:ilvl w:val="0"/>
          <w:numId w:val="2"/>
        </w:numPr>
        <w:spacing w:after="70"/>
      </w:pPr>
      <w:r>
        <w:t xml:space="preserve">Project data supplied to the agents is current and authoritative; Mira reads project systems but never writes to them.</w:t>
      </w:r>
    </w:p>
    <w:p>
      <w:pPr>
        <w:pStyle w:val="ListParagraph"/>
        <w:numPr>
          <w:ilvl w:val="0"/>
          <w:numId w:val="2"/>
        </w:numPr>
        <w:spacing w:after="70"/>
      </w:pPr>
      <w:r>
        <w:t xml:space="preserve">The timeline's relative week numbers can be anchored to a declared project start date — required before any "upcoming" or "at-risk" judgement is meaningful.</w:t>
      </w:r>
    </w:p>
    <w:p>
      <w:pPr>
        <w:pStyle w:val="ListParagraph"/>
        <w:numPr>
          <w:ilvl w:val="0"/>
          <w:numId w:val="2"/>
        </w:numPr>
        <w:spacing w:after="70"/>
      </w:pPr>
      <w:r>
        <w:t xml:space="preserve">PMs will review generated artefacts before they reach a client; Mira produces drafts, not sends.</w:t>
      </w:r>
    </w:p>
    <w:p>
      <w:pPr>
        <w:pStyle w:val="ListParagraph"/>
        <w:numPr>
          <w:ilvl w:val="0"/>
          <w:numId w:val="2"/>
        </w:numPr>
        <w:spacing w:after="70"/>
      </w:pPr>
      <w:r>
        <w:t xml:space="preserve">The supplied risk register is treated as the complete register for that project unless extended by the PM.</w:t>
      </w:r>
    </w:p>
    <w:p>
      <w:pPr>
        <w:spacing w:after="130"/>
      </w:pPr>
      <w:r>
        <w:rPr>
          <w:b/>
          <w:bCs/>
          <w:color w:val="1F4E79"/>
        </w:rPr>
        <w:t xml:space="preserve">Primary risk across all four use cases.</w:t>
      </w:r>
    </w:p>
    <w:p>
      <w:pPr>
        <w:spacing w:after="130"/>
      </w:pPr>
      <w:r>
        <w:t xml:space="preserve">Fabrication. Each use case generates a document that reads as authoritative, so an invented milestone, risk, or task count is not merely an error but a credibility failure — and one the PM may not catch, because the whole point of the tool is that they are no longer assembling the content by hand. Every use case above is therefore specified with a grounding constraint and an explicit refusal path, and each carries a correctness metric alongside its efficiency metric. Mitigation is architectural rather than aspirational: arithmetic is computed deterministically outside the model, generation is closed-book against supplied context, and every generated item carries a source reference.</w:t>
      </w:r>
    </w:p>
    <w:p>
      <w:pPr>
        <w:pStyle w:val="Heading1"/>
        <w:spacing w:after="150" w:before="340"/>
      </w:pPr>
      <w:r>
        <w:t xml:space="preserve">Further Opportunities (out of scope for v1)</w:t>
      </w:r>
    </w:p>
    <w:p>
      <w:pPr>
        <w:pStyle w:val="ListParagraph"/>
        <w:numPr>
          <w:ilvl w:val="0"/>
          <w:numId w:val="2"/>
        </w:numPr>
        <w:spacing w:after="70"/>
      </w:pPr>
      <w:r>
        <w:t xml:space="preserve">Portfolio roll-up across concurrent projects — addresses the "few PMs, many projects" pain directly, but requires multi-project data aggregation beyond v1 scope.</w:t>
      </w:r>
    </w:p>
    <w:p>
      <w:pPr>
        <w:pStyle w:val="ListParagraph"/>
        <w:numPr>
          <w:ilvl w:val="0"/>
          <w:numId w:val="2"/>
        </w:numPr>
        <w:spacing w:after="70"/>
      </w:pPr>
      <w:r>
        <w:t xml:space="preserve">Resource allocation advisory — the task board carries assignee data (5 team members across 25 tasks) sufficient to flag over- and under-allocation.</w:t>
      </w:r>
    </w:p>
    <w:p>
      <w:pPr>
        <w:pStyle w:val="ListParagraph"/>
        <w:numPr>
          <w:ilvl w:val="0"/>
          <w:numId w:val="2"/>
        </w:numPr>
        <w:spacing w:after="70"/>
      </w:pPr>
      <w:r>
        <w:t xml:space="preserve">Standalone stakeholder update generation — currently folded into UC-2 as an audience variant; could be separated if per-audience tailoring grows more sophisticated.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2026-08-11T20:33:25.137Z</dcterms:created>
  <dcterms:modified xsi:type="dcterms:W3CDTF">2026-08-11T20:33:25.164Z</dcterms:modified>
</cp:coreProperties>
</file>

<file path=docProps/custom.xml><?xml version="1.0" encoding="utf-8"?>
<Properties xmlns="http://schemas.openxmlformats.org/officeDocument/2006/custom-properties" xmlns:vt="http://schemas.openxmlformats.org/officeDocument/2006/docPropsVTypes"/>
</file>