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7605F" w14:textId="77777777" w:rsidR="000A30DA" w:rsidRDefault="000A30DA">
      <w:pPr>
        <w:spacing w:before="2400"/>
      </w:pPr>
    </w:p>
    <w:p w14:paraId="6458FFDD" w14:textId="77777777" w:rsidR="000A30DA" w:rsidRDefault="00000000">
      <w:pPr>
        <w:spacing w:after="200"/>
        <w:jc w:val="center"/>
      </w:pPr>
      <w:r>
        <w:rPr>
          <w:b/>
          <w:bCs/>
          <w:color w:val="1F3A5F"/>
          <w:sz w:val="52"/>
          <w:szCs w:val="52"/>
        </w:rPr>
        <w:t>COMPARATIVE STUDY</w:t>
      </w:r>
    </w:p>
    <w:p w14:paraId="455CBBF1" w14:textId="77777777" w:rsidR="000A30DA" w:rsidRDefault="00000000">
      <w:pPr>
        <w:spacing w:after="500"/>
        <w:jc w:val="center"/>
      </w:pPr>
      <w:r>
        <w:rPr>
          <w:b/>
          <w:bCs/>
          <w:color w:val="2E8B8B"/>
          <w:sz w:val="32"/>
          <w:szCs w:val="32"/>
        </w:rPr>
        <w:t>Low-Code Development vs. Traditional Application Development</w:t>
      </w:r>
    </w:p>
    <w:p w14:paraId="11A2F3A8" w14:textId="77777777" w:rsidR="000A30DA" w:rsidRDefault="00000000">
      <w:pPr>
        <w:spacing w:after="4000"/>
        <w:jc w:val="center"/>
      </w:pPr>
      <w:r>
        <w:rPr>
          <w:i/>
          <w:iCs/>
          <w:color w:val="6B7076"/>
          <w:sz w:val="22"/>
          <w:szCs w:val="22"/>
        </w:rPr>
        <w:t>An Analysis of Speed, Cost, Flexibility, and Long-Term Viability</w:t>
      </w:r>
    </w:p>
    <w:p w14:paraId="336A251C" w14:textId="77777777" w:rsidR="000A30DA" w:rsidRDefault="000A30DA">
      <w:pPr>
        <w:pBdr>
          <w:top w:val="single" w:sz="6" w:space="0" w:color="2E8B8B"/>
        </w:pBdr>
        <w:spacing w:before="200"/>
        <w:jc w:val="center"/>
      </w:pPr>
    </w:p>
    <w:p w14:paraId="0626C854" w14:textId="77777777" w:rsidR="000A30DA" w:rsidRDefault="000A30DA" w:rsidP="006B0D5C">
      <w:pPr>
        <w:spacing w:before="200"/>
        <w:jc w:val="center"/>
        <w:rPr>
          <w:color w:val="6B7076"/>
        </w:rPr>
      </w:pPr>
    </w:p>
    <w:p w14:paraId="44A08936" w14:textId="77777777" w:rsidR="006B0D5C" w:rsidRDefault="006B0D5C" w:rsidP="006B0D5C">
      <w:pPr>
        <w:jc w:val="center"/>
        <w:rPr>
          <w:color w:val="6B7076"/>
        </w:rPr>
      </w:pPr>
      <w:r>
        <w:rPr>
          <w:color w:val="6B7076"/>
        </w:rPr>
        <w:t>ROSHAN K</w:t>
      </w:r>
    </w:p>
    <w:p w14:paraId="28C239EE" w14:textId="77777777" w:rsidR="006B0D5C" w:rsidRDefault="006B0D5C" w:rsidP="006B0D5C">
      <w:pPr>
        <w:jc w:val="center"/>
        <w:rPr>
          <w:color w:val="6B7076"/>
        </w:rPr>
      </w:pPr>
    </w:p>
    <w:p w14:paraId="742F6792" w14:textId="77777777" w:rsidR="006B0D5C" w:rsidRDefault="006B0D5C" w:rsidP="006B0D5C">
      <w:pPr>
        <w:jc w:val="center"/>
        <w:rPr>
          <w:color w:val="6B7076"/>
        </w:rPr>
      </w:pPr>
      <w:r>
        <w:rPr>
          <w:color w:val="6B7076"/>
        </w:rPr>
        <w:t>241401083</w:t>
      </w:r>
    </w:p>
    <w:p w14:paraId="341A677A" w14:textId="77777777" w:rsidR="006B0D5C" w:rsidRDefault="006B0D5C" w:rsidP="006B0D5C">
      <w:pPr>
        <w:jc w:val="center"/>
        <w:rPr>
          <w:color w:val="6B7076"/>
        </w:rPr>
      </w:pPr>
    </w:p>
    <w:p w14:paraId="04B98AA8" w14:textId="460D0CF5" w:rsidR="006B0D5C" w:rsidRDefault="006B0D5C" w:rsidP="006B0D5C">
      <w:pPr>
        <w:jc w:val="center"/>
        <w:sectPr w:rsidR="006B0D5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pPr>
      <w:r>
        <w:rPr>
          <w:color w:val="6B7076"/>
        </w:rPr>
        <w:t>CSBS</w:t>
      </w:r>
    </w:p>
    <w:p w14:paraId="5D08F205" w14:textId="77777777" w:rsidR="000A30DA" w:rsidRDefault="00000000">
      <w:pPr>
        <w:pStyle w:val="Heading1"/>
        <w:spacing w:before="320" w:after="160"/>
      </w:pPr>
      <w:r>
        <w:rPr>
          <w:b/>
          <w:bCs/>
          <w:color w:val="1F3A5F"/>
          <w:sz w:val="30"/>
          <w:szCs w:val="30"/>
        </w:rPr>
        <w:lastRenderedPageBreak/>
        <w:t>1. Introduction</w:t>
      </w:r>
    </w:p>
    <w:p w14:paraId="3B39A35A" w14:textId="77777777" w:rsidR="000A30DA" w:rsidRDefault="00000000">
      <w:pPr>
        <w:spacing w:after="160" w:line="300" w:lineRule="auto"/>
        <w:jc w:val="both"/>
      </w:pPr>
      <w:r>
        <w:rPr>
          <w:color w:val="222222"/>
          <w:sz w:val="21"/>
          <w:szCs w:val="21"/>
        </w:rPr>
        <w:t>Organizations today face growing pressure to deliver software faster, at lower cost, and with fewer specialized engineering resources than ever before. Two broad approaches dominate how modern applications get built: low-code development, which relies on visual, model-driven tools to assemble applications with minimal hand-written code, and traditional development, which relies on professional software engineers writing source code in languages such as Java, Python, or JavaScript. This report compares the two approaches across development speed, cost, flexibility, scalability, governance, and long-term maintainability, and offers guidance on when each approach is the better fit.</w:t>
      </w:r>
    </w:p>
    <w:p w14:paraId="2D3C7F00" w14:textId="77777777" w:rsidR="000A30DA" w:rsidRDefault="00000000">
      <w:pPr>
        <w:spacing w:after="160" w:line="300" w:lineRule="auto"/>
        <w:jc w:val="both"/>
      </w:pPr>
      <w:r>
        <w:rPr>
          <w:color w:val="222222"/>
          <w:sz w:val="21"/>
          <w:szCs w:val="21"/>
        </w:rPr>
        <w:t xml:space="preserve">Low-code platforms (such as </w:t>
      </w:r>
      <w:proofErr w:type="spellStart"/>
      <w:r>
        <w:rPr>
          <w:color w:val="222222"/>
          <w:sz w:val="21"/>
          <w:szCs w:val="21"/>
        </w:rPr>
        <w:t>OutSystems</w:t>
      </w:r>
      <w:proofErr w:type="spellEnd"/>
      <w:r>
        <w:rPr>
          <w:color w:val="222222"/>
          <w:sz w:val="21"/>
          <w:szCs w:val="21"/>
        </w:rPr>
        <w:t xml:space="preserve">, </w:t>
      </w:r>
      <w:proofErr w:type="spellStart"/>
      <w:r>
        <w:rPr>
          <w:color w:val="222222"/>
          <w:sz w:val="21"/>
          <w:szCs w:val="21"/>
        </w:rPr>
        <w:t>Mendix</w:t>
      </w:r>
      <w:proofErr w:type="spellEnd"/>
      <w:r>
        <w:rPr>
          <w:color w:val="222222"/>
          <w:sz w:val="21"/>
          <w:szCs w:val="21"/>
        </w:rPr>
        <w:t>, Microsoft Power Apps, and Appian) have grown rapidly because they let business analysts and "citizen developers" build functional applications through drag-and-drop interfaces, pre-built templates, and configurable workflows. Traditional development remains the standard for building complex, highly customized, or performance-critical systems where full control over the code base is essential.</w:t>
      </w:r>
    </w:p>
    <w:p w14:paraId="04E0EB89" w14:textId="77777777" w:rsidR="000A30DA" w:rsidRDefault="00000000">
      <w:pPr>
        <w:pStyle w:val="Heading1"/>
        <w:spacing w:before="320" w:after="160"/>
      </w:pPr>
      <w:r>
        <w:rPr>
          <w:b/>
          <w:bCs/>
          <w:color w:val="1F3A5F"/>
          <w:sz w:val="30"/>
          <w:szCs w:val="30"/>
        </w:rPr>
        <w:t>2. Overview of the Two Approaches</w:t>
      </w:r>
    </w:p>
    <w:p w14:paraId="43B893A7" w14:textId="77777777" w:rsidR="000A30DA" w:rsidRDefault="00000000">
      <w:pPr>
        <w:pStyle w:val="Heading2"/>
        <w:spacing w:before="240" w:after="120"/>
      </w:pPr>
      <w:r>
        <w:rPr>
          <w:b/>
          <w:bCs/>
          <w:color w:val="2E8B8B"/>
          <w:sz w:val="24"/>
          <w:szCs w:val="24"/>
        </w:rPr>
        <w:t>2.1 Low-Code Development</w:t>
      </w:r>
    </w:p>
    <w:p w14:paraId="1B053FF1" w14:textId="77777777" w:rsidR="000A30DA" w:rsidRDefault="00000000">
      <w:pPr>
        <w:spacing w:after="160" w:line="300" w:lineRule="auto"/>
        <w:jc w:val="both"/>
      </w:pPr>
      <w:r>
        <w:rPr>
          <w:color w:val="222222"/>
          <w:sz w:val="21"/>
          <w:szCs w:val="21"/>
        </w:rPr>
        <w:t xml:space="preserve">Low-code development uses visual </w:t>
      </w:r>
      <w:proofErr w:type="spellStart"/>
      <w:r>
        <w:rPr>
          <w:color w:val="222222"/>
          <w:sz w:val="21"/>
          <w:szCs w:val="21"/>
        </w:rPr>
        <w:t>modeling</w:t>
      </w:r>
      <w:proofErr w:type="spellEnd"/>
      <w:r>
        <w:rPr>
          <w:color w:val="222222"/>
          <w:sz w:val="21"/>
          <w:szCs w:val="21"/>
        </w:rPr>
        <w:t xml:space="preserve"> tools, drag-and-drop components, and pre-configured logic blocks to assemble applications. Developers — often including non-technical "citizen developers" — connect these building blocks visually rather than writing extensive code line by line. Most platforms still allow developers to drop into custom script for edge cases, but the majority of the application is produced through configuration rather than programming.</w:t>
      </w:r>
    </w:p>
    <w:p w14:paraId="3372C4F6" w14:textId="77777777" w:rsidR="000A30DA" w:rsidRDefault="00000000">
      <w:pPr>
        <w:pStyle w:val="Heading2"/>
        <w:spacing w:before="240" w:after="120"/>
      </w:pPr>
      <w:r>
        <w:rPr>
          <w:b/>
          <w:bCs/>
          <w:color w:val="2E8B8B"/>
          <w:sz w:val="24"/>
          <w:szCs w:val="24"/>
        </w:rPr>
        <w:t>2.2 Traditional Application Development</w:t>
      </w:r>
    </w:p>
    <w:p w14:paraId="54FAE4FC" w14:textId="77777777" w:rsidR="000A30DA" w:rsidRDefault="00000000">
      <w:pPr>
        <w:spacing w:after="160" w:line="300" w:lineRule="auto"/>
        <w:jc w:val="both"/>
      </w:pPr>
      <w:r>
        <w:rPr>
          <w:color w:val="222222"/>
          <w:sz w:val="21"/>
          <w:szCs w:val="21"/>
        </w:rPr>
        <w:t>Traditional development follows the classical software engineering lifecycle: requirements gathering, architecture and design, hand-written coding, testing, and deployment. Developers have full control over the technology stack, data structures, and application logic, which supports highly customized and performance-tuned systems, at the cost of longer timelines and higher specialist staffing needs.</w:t>
      </w:r>
    </w:p>
    <w:p w14:paraId="382F8CA9" w14:textId="77777777" w:rsidR="000A30DA" w:rsidRDefault="00000000">
      <w:pPr>
        <w:spacing w:before="160" w:after="60"/>
        <w:jc w:val="center"/>
      </w:pPr>
      <w:r>
        <w:rPr>
          <w:noProof/>
        </w:rPr>
        <w:lastRenderedPageBreak/>
        <w:drawing>
          <wp:inline distT="0" distB="0" distL="0" distR="0" wp14:anchorId="6FD540EF" wp14:editId="6328F0E1">
            <wp:extent cx="55245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143250"/>
                    </a:xfrm>
                    <a:prstGeom prst="rect">
                      <a:avLst/>
                    </a:prstGeom>
                  </pic:spPr>
                </pic:pic>
              </a:graphicData>
            </a:graphic>
          </wp:inline>
        </w:drawing>
      </w:r>
    </w:p>
    <w:p w14:paraId="13340591" w14:textId="77777777" w:rsidR="000A30DA" w:rsidRDefault="00000000">
      <w:pPr>
        <w:spacing w:before="60" w:after="260"/>
        <w:jc w:val="center"/>
      </w:pPr>
      <w:r>
        <w:rPr>
          <w:i/>
          <w:iCs/>
          <w:color w:val="6B7076"/>
          <w:sz w:val="18"/>
          <w:szCs w:val="18"/>
        </w:rPr>
        <w:t>Figure 1: Simplified process flow — Low-Code vs. Traditional development lifecycles</w:t>
      </w:r>
    </w:p>
    <w:p w14:paraId="4DC63ACE" w14:textId="77777777" w:rsidR="000A30DA" w:rsidRDefault="00000000">
      <w:pPr>
        <w:pStyle w:val="Heading1"/>
        <w:spacing w:before="320" w:after="160"/>
      </w:pPr>
      <w:r>
        <w:rPr>
          <w:b/>
          <w:bCs/>
          <w:color w:val="1F3A5F"/>
          <w:sz w:val="30"/>
          <w:szCs w:val="30"/>
        </w:rPr>
        <w:t>3. Development Speed</w:t>
      </w:r>
    </w:p>
    <w:p w14:paraId="48CAD457" w14:textId="77777777" w:rsidR="000A30DA" w:rsidRDefault="00000000">
      <w:pPr>
        <w:spacing w:after="160" w:line="300" w:lineRule="auto"/>
        <w:jc w:val="both"/>
      </w:pPr>
      <w:r>
        <w:rPr>
          <w:color w:val="222222"/>
          <w:sz w:val="21"/>
          <w:szCs w:val="21"/>
        </w:rPr>
        <w:t>One of the most cited advantages of low-code platforms is faster time-to-market. Because much of the interface, data model, and workflow logic is pre-built or visually configured, low-code projects typically move from concept to working application in a fraction of the time required by traditional coding. The chart below illustrates average development timelines across project sizes, based on industry benchmarks.</w:t>
      </w:r>
    </w:p>
    <w:p w14:paraId="2840EFD7" w14:textId="77777777" w:rsidR="000A30DA" w:rsidRDefault="00000000">
      <w:pPr>
        <w:spacing w:before="160" w:after="60"/>
        <w:jc w:val="center"/>
      </w:pPr>
      <w:r>
        <w:rPr>
          <w:noProof/>
        </w:rPr>
        <w:drawing>
          <wp:inline distT="0" distB="0" distL="0" distR="0" wp14:anchorId="34ADE2D9" wp14:editId="0DE46305">
            <wp:extent cx="5334000" cy="2981325"/>
            <wp:effectExtent l="0" t="0" r="0" b="0"/>
            <wp:docPr id="1616318705" name="Picture 161631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81325"/>
                    </a:xfrm>
                    <a:prstGeom prst="rect">
                      <a:avLst/>
                    </a:prstGeom>
                  </pic:spPr>
                </pic:pic>
              </a:graphicData>
            </a:graphic>
          </wp:inline>
        </w:drawing>
      </w:r>
    </w:p>
    <w:p w14:paraId="5E3DC39A" w14:textId="77777777" w:rsidR="000A30DA" w:rsidRDefault="00000000">
      <w:pPr>
        <w:spacing w:before="60" w:after="260"/>
        <w:jc w:val="center"/>
      </w:pPr>
      <w:r>
        <w:rPr>
          <w:i/>
          <w:iCs/>
          <w:color w:val="6B7076"/>
          <w:sz w:val="18"/>
          <w:szCs w:val="18"/>
        </w:rPr>
        <w:t>Figure 2: Average development time by project size, in weeks</w:t>
      </w:r>
    </w:p>
    <w:p w14:paraId="0285C324" w14:textId="77777777" w:rsidR="000A30DA" w:rsidRDefault="00000000">
      <w:pPr>
        <w:spacing w:after="160" w:line="300" w:lineRule="auto"/>
        <w:jc w:val="both"/>
      </w:pPr>
      <w:r>
        <w:rPr>
          <w:color w:val="222222"/>
          <w:sz w:val="21"/>
          <w:szCs w:val="21"/>
        </w:rPr>
        <w:lastRenderedPageBreak/>
        <w:t>For small, well-defined applications, low-code platforms can cut delivery time by roughly two-thirds. The gap narrows somewhat for larger, more complex projects, where custom integrations and edge-case logic require developers to extend the platform beyond its native capabilities.</w:t>
      </w:r>
    </w:p>
    <w:p w14:paraId="609BE789" w14:textId="77777777" w:rsidR="000A30DA" w:rsidRDefault="00000000">
      <w:pPr>
        <w:pStyle w:val="Heading1"/>
        <w:spacing w:before="320" w:after="160"/>
      </w:pPr>
      <w:r>
        <w:rPr>
          <w:b/>
          <w:bCs/>
          <w:color w:val="1F3A5F"/>
          <w:sz w:val="30"/>
          <w:szCs w:val="30"/>
        </w:rPr>
        <w:t>4. Cost Comparison</w:t>
      </w:r>
    </w:p>
    <w:p w14:paraId="580E5A19" w14:textId="77777777" w:rsidR="000A30DA" w:rsidRDefault="00000000">
      <w:pPr>
        <w:spacing w:after="160" w:line="300" w:lineRule="auto"/>
        <w:jc w:val="both"/>
      </w:pPr>
      <w:r>
        <w:rPr>
          <w:color w:val="222222"/>
          <w:sz w:val="21"/>
          <w:szCs w:val="21"/>
        </w:rPr>
        <w:t>Cost differences between the two approaches show up across several categories: initial build cost, ongoing maintenance, training and onboarding, and licensing. Low-code platforms generally reduce initial development cost and lower the skill bar for maintenance, but introduce ongoing subscription or per-app licensing fees that traditional, self-hosted code bases do not carry.</w:t>
      </w:r>
    </w:p>
    <w:p w14:paraId="39A34E12" w14:textId="77777777" w:rsidR="000A30DA" w:rsidRDefault="00000000">
      <w:pPr>
        <w:spacing w:before="160" w:after="60"/>
        <w:jc w:val="center"/>
      </w:pPr>
      <w:r>
        <w:rPr>
          <w:noProof/>
        </w:rPr>
        <w:drawing>
          <wp:inline distT="0" distB="0" distL="0" distR="0" wp14:anchorId="0DB77589" wp14:editId="5224BD85">
            <wp:extent cx="5334000" cy="2981325"/>
            <wp:effectExtent l="0" t="0" r="0" b="0"/>
            <wp:docPr id="2036179282" name="Picture 2036179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981325"/>
                    </a:xfrm>
                    <a:prstGeom prst="rect">
                      <a:avLst/>
                    </a:prstGeom>
                  </pic:spPr>
                </pic:pic>
              </a:graphicData>
            </a:graphic>
          </wp:inline>
        </w:drawing>
      </w:r>
    </w:p>
    <w:p w14:paraId="48F6CBF9" w14:textId="77777777" w:rsidR="000A30DA" w:rsidRDefault="00000000">
      <w:pPr>
        <w:spacing w:before="60" w:after="260"/>
        <w:jc w:val="center"/>
      </w:pPr>
      <w:r>
        <w:rPr>
          <w:i/>
          <w:iCs/>
          <w:color w:val="6B7076"/>
          <w:sz w:val="18"/>
          <w:szCs w:val="18"/>
        </w:rPr>
        <w:t>Figure 3: Relative cost index across categories (traditional development initial cost indexed at 100)</w:t>
      </w:r>
    </w:p>
    <w:p w14:paraId="3EFBFB94" w14:textId="77777777" w:rsidR="000A30DA" w:rsidRDefault="00000000">
      <w:pPr>
        <w:spacing w:after="160" w:line="300" w:lineRule="auto"/>
        <w:jc w:val="both"/>
      </w:pPr>
      <w:r>
        <w:rPr>
          <w:color w:val="222222"/>
          <w:sz w:val="21"/>
          <w:szCs w:val="21"/>
        </w:rPr>
        <w:t>Over a multi-year horizon, the total cost of ownership depends heavily on scale: low-code tends to be more economical for small to mid-sized applications and internal tools, while traditional development can become more cost-effective at very large scale, where platform licensing fees compound and custom-built efficiency gains outweigh the faster initial build.</w:t>
      </w:r>
    </w:p>
    <w:p w14:paraId="63EF3AB9" w14:textId="77777777" w:rsidR="000A30DA" w:rsidRDefault="00000000">
      <w:pPr>
        <w:pStyle w:val="Heading1"/>
        <w:spacing w:before="320" w:after="160"/>
      </w:pPr>
      <w:r>
        <w:rPr>
          <w:b/>
          <w:bCs/>
          <w:color w:val="1F3A5F"/>
          <w:sz w:val="30"/>
          <w:szCs w:val="30"/>
        </w:rPr>
        <w:t>5. Capability Profile</w:t>
      </w:r>
    </w:p>
    <w:p w14:paraId="6BACC2DD" w14:textId="77777777" w:rsidR="000A30DA" w:rsidRDefault="00000000">
      <w:pPr>
        <w:spacing w:after="160" w:line="300" w:lineRule="auto"/>
        <w:jc w:val="both"/>
      </w:pPr>
      <w:r>
        <w:rPr>
          <w:color w:val="222222"/>
          <w:sz w:val="21"/>
          <w:szCs w:val="21"/>
        </w:rPr>
        <w:t>Beyond speed and cost, the two approaches differ meaningfully in flexibility, scalability, governance, and maintainability. The radar chart below scores each approach on a 1–10 scale across six capability dimensions, based on common patterns reported across enterprise case studies.</w:t>
      </w:r>
    </w:p>
    <w:p w14:paraId="5DBC9B8F" w14:textId="77777777" w:rsidR="000A30DA" w:rsidRDefault="00000000">
      <w:pPr>
        <w:spacing w:before="160" w:after="60"/>
        <w:jc w:val="center"/>
      </w:pPr>
      <w:r>
        <w:rPr>
          <w:noProof/>
        </w:rPr>
        <w:lastRenderedPageBreak/>
        <w:drawing>
          <wp:inline distT="0" distB="0" distL="0" distR="0" wp14:anchorId="66876C5C" wp14:editId="7454E57A">
            <wp:extent cx="4381500" cy="4048125"/>
            <wp:effectExtent l="0" t="0" r="0" b="0"/>
            <wp:docPr id="1278456834" name="Picture 1278456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4048125"/>
                    </a:xfrm>
                    <a:prstGeom prst="rect">
                      <a:avLst/>
                    </a:prstGeom>
                  </pic:spPr>
                </pic:pic>
              </a:graphicData>
            </a:graphic>
          </wp:inline>
        </w:drawing>
      </w:r>
    </w:p>
    <w:p w14:paraId="27A89FC8" w14:textId="77777777" w:rsidR="000A30DA" w:rsidRDefault="00000000">
      <w:pPr>
        <w:spacing w:before="60" w:after="260"/>
        <w:jc w:val="center"/>
      </w:pPr>
      <w:r>
        <w:rPr>
          <w:i/>
          <w:iCs/>
          <w:color w:val="6B7076"/>
          <w:sz w:val="18"/>
          <w:szCs w:val="18"/>
        </w:rPr>
        <w:t>Figure 4: Capability profile comparison across six dimensions</w:t>
      </w:r>
    </w:p>
    <w:p w14:paraId="0B06858A" w14:textId="77777777" w:rsidR="000A30DA" w:rsidRDefault="00000000">
      <w:pPr>
        <w:pStyle w:val="Heading1"/>
        <w:spacing w:before="320" w:after="160"/>
      </w:pPr>
      <w:r>
        <w:rPr>
          <w:b/>
          <w:bCs/>
          <w:color w:val="1F3A5F"/>
          <w:sz w:val="30"/>
          <w:szCs w:val="30"/>
        </w:rPr>
        <w:t>6. Detailed Comparison</w:t>
      </w:r>
    </w:p>
    <w:p w14:paraId="143DB65C" w14:textId="77777777" w:rsidR="000A30DA" w:rsidRDefault="00000000">
      <w:pPr>
        <w:spacing w:after="160" w:line="300" w:lineRule="auto"/>
        <w:jc w:val="both"/>
      </w:pPr>
      <w:r>
        <w:rPr>
          <w:color w:val="222222"/>
          <w:sz w:val="21"/>
          <w:szCs w:val="21"/>
        </w:rPr>
        <w:t>The table below summarizes the core trade-offs between low-code and traditional development across the criteria most relevant to technology decision-makers.</w:t>
      </w:r>
    </w:p>
    <w:p w14:paraId="1E8995E1" w14:textId="77777777" w:rsidR="000A30DA" w:rsidRDefault="000A30DA">
      <w:pPr>
        <w:spacing w:after="16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50"/>
        <w:gridCol w:w="3550"/>
      </w:tblGrid>
      <w:tr w:rsidR="000A30DA" w14:paraId="0FA5F0C0" w14:textId="77777777">
        <w:trPr>
          <w:tblHeader/>
        </w:trPr>
        <w:tc>
          <w:tcPr>
            <w:tcW w:w="2600" w:type="dxa"/>
            <w:shd w:val="clear" w:color="auto" w:fill="1F3A5F"/>
            <w:tcMar>
              <w:top w:w="100" w:type="dxa"/>
              <w:left w:w="120" w:type="dxa"/>
              <w:bottom w:w="100" w:type="dxa"/>
              <w:right w:w="120" w:type="dxa"/>
            </w:tcMar>
            <w:vAlign w:val="center"/>
          </w:tcPr>
          <w:p w14:paraId="1F47A3E5" w14:textId="77777777" w:rsidR="000A30DA" w:rsidRDefault="00000000">
            <w:pPr>
              <w:jc w:val="center"/>
            </w:pPr>
            <w:r>
              <w:rPr>
                <w:b/>
                <w:bCs/>
                <w:color w:val="FFFFFF"/>
                <w:sz w:val="19"/>
                <w:szCs w:val="19"/>
              </w:rPr>
              <w:t>Criterion</w:t>
            </w:r>
          </w:p>
        </w:tc>
        <w:tc>
          <w:tcPr>
            <w:tcW w:w="3550" w:type="dxa"/>
            <w:shd w:val="clear" w:color="auto" w:fill="1F3A5F"/>
            <w:tcMar>
              <w:top w:w="100" w:type="dxa"/>
              <w:left w:w="120" w:type="dxa"/>
              <w:bottom w:w="100" w:type="dxa"/>
              <w:right w:w="120" w:type="dxa"/>
            </w:tcMar>
            <w:vAlign w:val="center"/>
          </w:tcPr>
          <w:p w14:paraId="1A6742CA" w14:textId="77777777" w:rsidR="000A30DA" w:rsidRDefault="00000000">
            <w:pPr>
              <w:jc w:val="center"/>
            </w:pPr>
            <w:r>
              <w:rPr>
                <w:b/>
                <w:bCs/>
                <w:color w:val="FFFFFF"/>
                <w:sz w:val="19"/>
                <w:szCs w:val="19"/>
              </w:rPr>
              <w:t>Low-Code Development</w:t>
            </w:r>
          </w:p>
        </w:tc>
        <w:tc>
          <w:tcPr>
            <w:tcW w:w="3550" w:type="dxa"/>
            <w:shd w:val="clear" w:color="auto" w:fill="1F3A5F"/>
            <w:tcMar>
              <w:top w:w="100" w:type="dxa"/>
              <w:left w:w="120" w:type="dxa"/>
              <w:bottom w:w="100" w:type="dxa"/>
              <w:right w:w="120" w:type="dxa"/>
            </w:tcMar>
            <w:vAlign w:val="center"/>
          </w:tcPr>
          <w:p w14:paraId="0679F483" w14:textId="77777777" w:rsidR="000A30DA" w:rsidRDefault="00000000">
            <w:pPr>
              <w:jc w:val="center"/>
            </w:pPr>
            <w:r>
              <w:rPr>
                <w:b/>
                <w:bCs/>
                <w:color w:val="FFFFFF"/>
                <w:sz w:val="19"/>
                <w:szCs w:val="19"/>
              </w:rPr>
              <w:t>Traditional Development</w:t>
            </w:r>
          </w:p>
        </w:tc>
      </w:tr>
      <w:tr w:rsidR="000A30DA" w14:paraId="10F2DA5D" w14:textId="77777777">
        <w:tc>
          <w:tcPr>
            <w:tcW w:w="2600" w:type="dxa"/>
            <w:tcMar>
              <w:top w:w="90" w:type="dxa"/>
              <w:left w:w="120" w:type="dxa"/>
              <w:bottom w:w="90" w:type="dxa"/>
              <w:right w:w="120" w:type="dxa"/>
            </w:tcMar>
            <w:vAlign w:val="center"/>
          </w:tcPr>
          <w:p w14:paraId="6C11C133" w14:textId="77777777" w:rsidR="000A30DA" w:rsidRDefault="00000000">
            <w:r>
              <w:rPr>
                <w:b/>
                <w:bCs/>
                <w:color w:val="222222"/>
                <w:sz w:val="19"/>
                <w:szCs w:val="19"/>
              </w:rPr>
              <w:t>Development Speed</w:t>
            </w:r>
          </w:p>
        </w:tc>
        <w:tc>
          <w:tcPr>
            <w:tcW w:w="3550" w:type="dxa"/>
            <w:tcMar>
              <w:top w:w="90" w:type="dxa"/>
              <w:left w:w="120" w:type="dxa"/>
              <w:bottom w:w="90" w:type="dxa"/>
              <w:right w:w="120" w:type="dxa"/>
            </w:tcMar>
            <w:vAlign w:val="center"/>
          </w:tcPr>
          <w:p w14:paraId="002DBE5D" w14:textId="77777777" w:rsidR="000A30DA" w:rsidRDefault="00000000">
            <w:pPr>
              <w:jc w:val="center"/>
            </w:pPr>
            <w:r>
              <w:rPr>
                <w:color w:val="222222"/>
                <w:sz w:val="19"/>
                <w:szCs w:val="19"/>
              </w:rPr>
              <w:t>Fast — days to weeks</w:t>
            </w:r>
          </w:p>
        </w:tc>
        <w:tc>
          <w:tcPr>
            <w:tcW w:w="3550" w:type="dxa"/>
            <w:tcMar>
              <w:top w:w="90" w:type="dxa"/>
              <w:left w:w="120" w:type="dxa"/>
              <w:bottom w:w="90" w:type="dxa"/>
              <w:right w:w="120" w:type="dxa"/>
            </w:tcMar>
            <w:vAlign w:val="center"/>
          </w:tcPr>
          <w:p w14:paraId="75EC9A92" w14:textId="77777777" w:rsidR="000A30DA" w:rsidRDefault="00000000">
            <w:pPr>
              <w:jc w:val="center"/>
            </w:pPr>
            <w:r>
              <w:rPr>
                <w:color w:val="222222"/>
                <w:sz w:val="19"/>
                <w:szCs w:val="19"/>
              </w:rPr>
              <w:t>Slower — weeks to months</w:t>
            </w:r>
          </w:p>
        </w:tc>
      </w:tr>
      <w:tr w:rsidR="000A30DA" w14:paraId="6F3CC94C" w14:textId="77777777">
        <w:tc>
          <w:tcPr>
            <w:tcW w:w="2600" w:type="dxa"/>
            <w:shd w:val="clear" w:color="auto" w:fill="F4F6F8"/>
            <w:tcMar>
              <w:top w:w="90" w:type="dxa"/>
              <w:left w:w="120" w:type="dxa"/>
              <w:bottom w:w="90" w:type="dxa"/>
              <w:right w:w="120" w:type="dxa"/>
            </w:tcMar>
            <w:vAlign w:val="center"/>
          </w:tcPr>
          <w:p w14:paraId="4FAFE54B" w14:textId="77777777" w:rsidR="000A30DA" w:rsidRDefault="00000000">
            <w:r>
              <w:rPr>
                <w:b/>
                <w:bCs/>
                <w:color w:val="222222"/>
                <w:sz w:val="19"/>
                <w:szCs w:val="19"/>
              </w:rPr>
              <w:t>Required Skill Level</w:t>
            </w:r>
          </w:p>
        </w:tc>
        <w:tc>
          <w:tcPr>
            <w:tcW w:w="3550" w:type="dxa"/>
            <w:shd w:val="clear" w:color="auto" w:fill="F4F6F8"/>
            <w:tcMar>
              <w:top w:w="90" w:type="dxa"/>
              <w:left w:w="120" w:type="dxa"/>
              <w:bottom w:w="90" w:type="dxa"/>
              <w:right w:w="120" w:type="dxa"/>
            </w:tcMar>
            <w:vAlign w:val="center"/>
          </w:tcPr>
          <w:p w14:paraId="29FC6156" w14:textId="77777777" w:rsidR="000A30DA" w:rsidRDefault="00000000">
            <w:pPr>
              <w:jc w:val="center"/>
            </w:pPr>
            <w:r>
              <w:rPr>
                <w:color w:val="222222"/>
                <w:sz w:val="19"/>
                <w:szCs w:val="19"/>
              </w:rPr>
              <w:t>Low to moderate; business users can contribute</w:t>
            </w:r>
          </w:p>
        </w:tc>
        <w:tc>
          <w:tcPr>
            <w:tcW w:w="3550" w:type="dxa"/>
            <w:shd w:val="clear" w:color="auto" w:fill="F4F6F8"/>
            <w:tcMar>
              <w:top w:w="90" w:type="dxa"/>
              <w:left w:w="120" w:type="dxa"/>
              <w:bottom w:w="90" w:type="dxa"/>
              <w:right w:w="120" w:type="dxa"/>
            </w:tcMar>
            <w:vAlign w:val="center"/>
          </w:tcPr>
          <w:p w14:paraId="522EFA15" w14:textId="77777777" w:rsidR="000A30DA" w:rsidRDefault="00000000">
            <w:pPr>
              <w:jc w:val="center"/>
            </w:pPr>
            <w:r>
              <w:rPr>
                <w:color w:val="222222"/>
                <w:sz w:val="19"/>
                <w:szCs w:val="19"/>
              </w:rPr>
              <w:t>High; requires trained software engineers</w:t>
            </w:r>
          </w:p>
        </w:tc>
      </w:tr>
      <w:tr w:rsidR="000A30DA" w14:paraId="300D5057" w14:textId="77777777">
        <w:tc>
          <w:tcPr>
            <w:tcW w:w="2600" w:type="dxa"/>
            <w:tcMar>
              <w:top w:w="90" w:type="dxa"/>
              <w:left w:w="120" w:type="dxa"/>
              <w:bottom w:w="90" w:type="dxa"/>
              <w:right w:w="120" w:type="dxa"/>
            </w:tcMar>
            <w:vAlign w:val="center"/>
          </w:tcPr>
          <w:p w14:paraId="0A03685E" w14:textId="77777777" w:rsidR="000A30DA" w:rsidRDefault="00000000">
            <w:r>
              <w:rPr>
                <w:b/>
                <w:bCs/>
                <w:color w:val="222222"/>
                <w:sz w:val="19"/>
                <w:szCs w:val="19"/>
              </w:rPr>
              <w:t>Customization</w:t>
            </w:r>
          </w:p>
        </w:tc>
        <w:tc>
          <w:tcPr>
            <w:tcW w:w="3550" w:type="dxa"/>
            <w:tcMar>
              <w:top w:w="90" w:type="dxa"/>
              <w:left w:w="120" w:type="dxa"/>
              <w:bottom w:w="90" w:type="dxa"/>
              <w:right w:w="120" w:type="dxa"/>
            </w:tcMar>
            <w:vAlign w:val="center"/>
          </w:tcPr>
          <w:p w14:paraId="3FC78616" w14:textId="77777777" w:rsidR="000A30DA" w:rsidRDefault="00000000">
            <w:pPr>
              <w:jc w:val="center"/>
            </w:pPr>
            <w:r>
              <w:rPr>
                <w:color w:val="222222"/>
                <w:sz w:val="19"/>
                <w:szCs w:val="19"/>
              </w:rPr>
              <w:t>Limited by platform capabilities</w:t>
            </w:r>
          </w:p>
        </w:tc>
        <w:tc>
          <w:tcPr>
            <w:tcW w:w="3550" w:type="dxa"/>
            <w:tcMar>
              <w:top w:w="90" w:type="dxa"/>
              <w:left w:w="120" w:type="dxa"/>
              <w:bottom w:w="90" w:type="dxa"/>
              <w:right w:w="120" w:type="dxa"/>
            </w:tcMar>
            <w:vAlign w:val="center"/>
          </w:tcPr>
          <w:p w14:paraId="646FCCB6" w14:textId="77777777" w:rsidR="000A30DA" w:rsidRDefault="00000000">
            <w:pPr>
              <w:jc w:val="center"/>
            </w:pPr>
            <w:r>
              <w:rPr>
                <w:color w:val="222222"/>
                <w:sz w:val="19"/>
                <w:szCs w:val="19"/>
              </w:rPr>
              <w:t>Virtually unlimited</w:t>
            </w:r>
          </w:p>
        </w:tc>
      </w:tr>
      <w:tr w:rsidR="000A30DA" w14:paraId="2A46A916" w14:textId="77777777">
        <w:tc>
          <w:tcPr>
            <w:tcW w:w="2600" w:type="dxa"/>
            <w:shd w:val="clear" w:color="auto" w:fill="F4F6F8"/>
            <w:tcMar>
              <w:top w:w="90" w:type="dxa"/>
              <w:left w:w="120" w:type="dxa"/>
              <w:bottom w:w="90" w:type="dxa"/>
              <w:right w:w="120" w:type="dxa"/>
            </w:tcMar>
            <w:vAlign w:val="center"/>
          </w:tcPr>
          <w:p w14:paraId="09CFD481" w14:textId="77777777" w:rsidR="000A30DA" w:rsidRDefault="00000000">
            <w:r>
              <w:rPr>
                <w:b/>
                <w:bCs/>
                <w:color w:val="222222"/>
                <w:sz w:val="19"/>
                <w:szCs w:val="19"/>
              </w:rPr>
              <w:t>Scalability</w:t>
            </w:r>
          </w:p>
        </w:tc>
        <w:tc>
          <w:tcPr>
            <w:tcW w:w="3550" w:type="dxa"/>
            <w:shd w:val="clear" w:color="auto" w:fill="F4F6F8"/>
            <w:tcMar>
              <w:top w:w="90" w:type="dxa"/>
              <w:left w:w="120" w:type="dxa"/>
              <w:bottom w:w="90" w:type="dxa"/>
              <w:right w:w="120" w:type="dxa"/>
            </w:tcMar>
            <w:vAlign w:val="center"/>
          </w:tcPr>
          <w:p w14:paraId="05180380" w14:textId="77777777" w:rsidR="000A30DA" w:rsidRDefault="00000000">
            <w:pPr>
              <w:jc w:val="center"/>
            </w:pPr>
            <w:r>
              <w:rPr>
                <w:color w:val="222222"/>
                <w:sz w:val="19"/>
                <w:szCs w:val="19"/>
              </w:rPr>
              <w:t>Good for small/mid workloads; can hit platform limits</w:t>
            </w:r>
          </w:p>
        </w:tc>
        <w:tc>
          <w:tcPr>
            <w:tcW w:w="3550" w:type="dxa"/>
            <w:shd w:val="clear" w:color="auto" w:fill="F4F6F8"/>
            <w:tcMar>
              <w:top w:w="90" w:type="dxa"/>
              <w:left w:w="120" w:type="dxa"/>
              <w:bottom w:w="90" w:type="dxa"/>
              <w:right w:w="120" w:type="dxa"/>
            </w:tcMar>
            <w:vAlign w:val="center"/>
          </w:tcPr>
          <w:p w14:paraId="054B068B" w14:textId="77777777" w:rsidR="000A30DA" w:rsidRDefault="00000000">
            <w:pPr>
              <w:jc w:val="center"/>
            </w:pPr>
            <w:r>
              <w:rPr>
                <w:color w:val="222222"/>
                <w:sz w:val="19"/>
                <w:szCs w:val="19"/>
              </w:rPr>
              <w:t>Excellent; architecture built for scale</w:t>
            </w:r>
          </w:p>
        </w:tc>
      </w:tr>
      <w:tr w:rsidR="000A30DA" w14:paraId="36D83A63" w14:textId="77777777">
        <w:tc>
          <w:tcPr>
            <w:tcW w:w="2600" w:type="dxa"/>
            <w:tcMar>
              <w:top w:w="90" w:type="dxa"/>
              <w:left w:w="120" w:type="dxa"/>
              <w:bottom w:w="90" w:type="dxa"/>
              <w:right w:w="120" w:type="dxa"/>
            </w:tcMar>
            <w:vAlign w:val="center"/>
          </w:tcPr>
          <w:p w14:paraId="73D1795F" w14:textId="77777777" w:rsidR="000A30DA" w:rsidRDefault="00000000">
            <w:r>
              <w:rPr>
                <w:b/>
                <w:bCs/>
                <w:color w:val="222222"/>
                <w:sz w:val="19"/>
                <w:szCs w:val="19"/>
              </w:rPr>
              <w:t>Initial Cost</w:t>
            </w:r>
          </w:p>
        </w:tc>
        <w:tc>
          <w:tcPr>
            <w:tcW w:w="3550" w:type="dxa"/>
            <w:tcMar>
              <w:top w:w="90" w:type="dxa"/>
              <w:left w:w="120" w:type="dxa"/>
              <w:bottom w:w="90" w:type="dxa"/>
              <w:right w:w="120" w:type="dxa"/>
            </w:tcMar>
            <w:vAlign w:val="center"/>
          </w:tcPr>
          <w:p w14:paraId="462A1D2F" w14:textId="77777777" w:rsidR="000A30DA" w:rsidRDefault="00000000">
            <w:pPr>
              <w:jc w:val="center"/>
            </w:pPr>
            <w:r>
              <w:rPr>
                <w:color w:val="222222"/>
                <w:sz w:val="19"/>
                <w:szCs w:val="19"/>
              </w:rPr>
              <w:t>Lower</w:t>
            </w:r>
          </w:p>
        </w:tc>
        <w:tc>
          <w:tcPr>
            <w:tcW w:w="3550" w:type="dxa"/>
            <w:tcMar>
              <w:top w:w="90" w:type="dxa"/>
              <w:left w:w="120" w:type="dxa"/>
              <w:bottom w:w="90" w:type="dxa"/>
              <w:right w:w="120" w:type="dxa"/>
            </w:tcMar>
            <w:vAlign w:val="center"/>
          </w:tcPr>
          <w:p w14:paraId="58AE6EA9" w14:textId="77777777" w:rsidR="000A30DA" w:rsidRDefault="00000000">
            <w:pPr>
              <w:jc w:val="center"/>
            </w:pPr>
            <w:r>
              <w:rPr>
                <w:color w:val="222222"/>
                <w:sz w:val="19"/>
                <w:szCs w:val="19"/>
              </w:rPr>
              <w:t>Higher</w:t>
            </w:r>
          </w:p>
        </w:tc>
      </w:tr>
      <w:tr w:rsidR="000A30DA" w14:paraId="029A2BB5" w14:textId="77777777">
        <w:tc>
          <w:tcPr>
            <w:tcW w:w="2600" w:type="dxa"/>
            <w:shd w:val="clear" w:color="auto" w:fill="F4F6F8"/>
            <w:tcMar>
              <w:top w:w="90" w:type="dxa"/>
              <w:left w:w="120" w:type="dxa"/>
              <w:bottom w:w="90" w:type="dxa"/>
              <w:right w:w="120" w:type="dxa"/>
            </w:tcMar>
            <w:vAlign w:val="center"/>
          </w:tcPr>
          <w:p w14:paraId="2044BE82" w14:textId="77777777" w:rsidR="000A30DA" w:rsidRDefault="00000000">
            <w:r>
              <w:rPr>
                <w:b/>
                <w:bCs/>
                <w:color w:val="222222"/>
                <w:sz w:val="19"/>
                <w:szCs w:val="19"/>
              </w:rPr>
              <w:t>Ongoing Cost</w:t>
            </w:r>
          </w:p>
        </w:tc>
        <w:tc>
          <w:tcPr>
            <w:tcW w:w="3550" w:type="dxa"/>
            <w:shd w:val="clear" w:color="auto" w:fill="F4F6F8"/>
            <w:tcMar>
              <w:top w:w="90" w:type="dxa"/>
              <w:left w:w="120" w:type="dxa"/>
              <w:bottom w:w="90" w:type="dxa"/>
              <w:right w:w="120" w:type="dxa"/>
            </w:tcMar>
            <w:vAlign w:val="center"/>
          </w:tcPr>
          <w:p w14:paraId="084D5334" w14:textId="77777777" w:rsidR="000A30DA" w:rsidRDefault="00000000">
            <w:pPr>
              <w:jc w:val="center"/>
            </w:pPr>
            <w:r>
              <w:rPr>
                <w:color w:val="222222"/>
                <w:sz w:val="19"/>
                <w:szCs w:val="19"/>
              </w:rPr>
              <w:t>Subscription / per-app licensing fees</w:t>
            </w:r>
          </w:p>
        </w:tc>
        <w:tc>
          <w:tcPr>
            <w:tcW w:w="3550" w:type="dxa"/>
            <w:shd w:val="clear" w:color="auto" w:fill="F4F6F8"/>
            <w:tcMar>
              <w:top w:w="90" w:type="dxa"/>
              <w:left w:w="120" w:type="dxa"/>
              <w:bottom w:w="90" w:type="dxa"/>
              <w:right w:w="120" w:type="dxa"/>
            </w:tcMar>
            <w:vAlign w:val="center"/>
          </w:tcPr>
          <w:p w14:paraId="197D9A6E" w14:textId="77777777" w:rsidR="000A30DA" w:rsidRDefault="00000000">
            <w:pPr>
              <w:jc w:val="center"/>
            </w:pPr>
            <w:r>
              <w:rPr>
                <w:color w:val="222222"/>
                <w:sz w:val="19"/>
                <w:szCs w:val="19"/>
              </w:rPr>
              <w:t>Primarily staffing and infrastructure</w:t>
            </w:r>
          </w:p>
        </w:tc>
      </w:tr>
      <w:tr w:rsidR="000A30DA" w14:paraId="392644DB" w14:textId="77777777">
        <w:tc>
          <w:tcPr>
            <w:tcW w:w="2600" w:type="dxa"/>
            <w:tcMar>
              <w:top w:w="90" w:type="dxa"/>
              <w:left w:w="120" w:type="dxa"/>
              <w:bottom w:w="90" w:type="dxa"/>
              <w:right w:w="120" w:type="dxa"/>
            </w:tcMar>
            <w:vAlign w:val="center"/>
          </w:tcPr>
          <w:p w14:paraId="6F8B65A4" w14:textId="77777777" w:rsidR="000A30DA" w:rsidRDefault="00000000">
            <w:r>
              <w:rPr>
                <w:b/>
                <w:bCs/>
                <w:color w:val="222222"/>
                <w:sz w:val="19"/>
                <w:szCs w:val="19"/>
              </w:rPr>
              <w:t>Maintenance</w:t>
            </w:r>
          </w:p>
        </w:tc>
        <w:tc>
          <w:tcPr>
            <w:tcW w:w="3550" w:type="dxa"/>
            <w:tcMar>
              <w:top w:w="90" w:type="dxa"/>
              <w:left w:w="120" w:type="dxa"/>
              <w:bottom w:w="90" w:type="dxa"/>
              <w:right w:w="120" w:type="dxa"/>
            </w:tcMar>
            <w:vAlign w:val="center"/>
          </w:tcPr>
          <w:p w14:paraId="51C728D5" w14:textId="77777777" w:rsidR="000A30DA" w:rsidRDefault="00000000">
            <w:pPr>
              <w:jc w:val="center"/>
            </w:pPr>
            <w:r>
              <w:rPr>
                <w:color w:val="222222"/>
                <w:sz w:val="19"/>
                <w:szCs w:val="19"/>
              </w:rPr>
              <w:t>Simplified via visual tools</w:t>
            </w:r>
          </w:p>
        </w:tc>
        <w:tc>
          <w:tcPr>
            <w:tcW w:w="3550" w:type="dxa"/>
            <w:tcMar>
              <w:top w:w="90" w:type="dxa"/>
              <w:left w:w="120" w:type="dxa"/>
              <w:bottom w:w="90" w:type="dxa"/>
              <w:right w:w="120" w:type="dxa"/>
            </w:tcMar>
            <w:vAlign w:val="center"/>
          </w:tcPr>
          <w:p w14:paraId="607665A5" w14:textId="77777777" w:rsidR="000A30DA" w:rsidRDefault="00000000">
            <w:pPr>
              <w:jc w:val="center"/>
            </w:pPr>
            <w:r>
              <w:rPr>
                <w:color w:val="222222"/>
                <w:sz w:val="19"/>
                <w:szCs w:val="19"/>
              </w:rPr>
              <w:t>Requires ongoing engineering effort</w:t>
            </w:r>
          </w:p>
        </w:tc>
      </w:tr>
      <w:tr w:rsidR="000A30DA" w14:paraId="71DFC558" w14:textId="77777777">
        <w:tc>
          <w:tcPr>
            <w:tcW w:w="2600" w:type="dxa"/>
            <w:shd w:val="clear" w:color="auto" w:fill="F4F6F8"/>
            <w:tcMar>
              <w:top w:w="90" w:type="dxa"/>
              <w:left w:w="120" w:type="dxa"/>
              <w:bottom w:w="90" w:type="dxa"/>
              <w:right w:w="120" w:type="dxa"/>
            </w:tcMar>
            <w:vAlign w:val="center"/>
          </w:tcPr>
          <w:p w14:paraId="0C2C5E34" w14:textId="77777777" w:rsidR="000A30DA" w:rsidRDefault="00000000">
            <w:r>
              <w:rPr>
                <w:b/>
                <w:bCs/>
                <w:color w:val="222222"/>
                <w:sz w:val="19"/>
                <w:szCs w:val="19"/>
              </w:rPr>
              <w:lastRenderedPageBreak/>
              <w:t>Vendor Lock-in</w:t>
            </w:r>
          </w:p>
        </w:tc>
        <w:tc>
          <w:tcPr>
            <w:tcW w:w="3550" w:type="dxa"/>
            <w:shd w:val="clear" w:color="auto" w:fill="F4F6F8"/>
            <w:tcMar>
              <w:top w:w="90" w:type="dxa"/>
              <w:left w:w="120" w:type="dxa"/>
              <w:bottom w:w="90" w:type="dxa"/>
              <w:right w:w="120" w:type="dxa"/>
            </w:tcMar>
            <w:vAlign w:val="center"/>
          </w:tcPr>
          <w:p w14:paraId="1D269FCC" w14:textId="77777777" w:rsidR="000A30DA" w:rsidRDefault="00000000">
            <w:pPr>
              <w:jc w:val="center"/>
            </w:pPr>
            <w:r>
              <w:rPr>
                <w:color w:val="222222"/>
                <w:sz w:val="19"/>
                <w:szCs w:val="19"/>
              </w:rPr>
              <w:t>Higher — tied to platform</w:t>
            </w:r>
          </w:p>
        </w:tc>
        <w:tc>
          <w:tcPr>
            <w:tcW w:w="3550" w:type="dxa"/>
            <w:shd w:val="clear" w:color="auto" w:fill="F4F6F8"/>
            <w:tcMar>
              <w:top w:w="90" w:type="dxa"/>
              <w:left w:w="120" w:type="dxa"/>
              <w:bottom w:w="90" w:type="dxa"/>
              <w:right w:w="120" w:type="dxa"/>
            </w:tcMar>
            <w:vAlign w:val="center"/>
          </w:tcPr>
          <w:p w14:paraId="6DCD23B5" w14:textId="77777777" w:rsidR="000A30DA" w:rsidRDefault="00000000">
            <w:pPr>
              <w:jc w:val="center"/>
            </w:pPr>
            <w:r>
              <w:rPr>
                <w:color w:val="222222"/>
                <w:sz w:val="19"/>
                <w:szCs w:val="19"/>
              </w:rPr>
              <w:t>Low — code is portable</w:t>
            </w:r>
          </w:p>
        </w:tc>
      </w:tr>
      <w:tr w:rsidR="000A30DA" w14:paraId="5150160B" w14:textId="77777777">
        <w:tc>
          <w:tcPr>
            <w:tcW w:w="2600" w:type="dxa"/>
            <w:tcMar>
              <w:top w:w="90" w:type="dxa"/>
              <w:left w:w="120" w:type="dxa"/>
              <w:bottom w:w="90" w:type="dxa"/>
              <w:right w:w="120" w:type="dxa"/>
            </w:tcMar>
            <w:vAlign w:val="center"/>
          </w:tcPr>
          <w:p w14:paraId="30A2C512" w14:textId="77777777" w:rsidR="000A30DA" w:rsidRDefault="00000000">
            <w:r>
              <w:rPr>
                <w:b/>
                <w:bCs/>
                <w:color w:val="222222"/>
                <w:sz w:val="19"/>
                <w:szCs w:val="19"/>
              </w:rPr>
              <w:t>Governance &amp; Security</w:t>
            </w:r>
          </w:p>
        </w:tc>
        <w:tc>
          <w:tcPr>
            <w:tcW w:w="3550" w:type="dxa"/>
            <w:tcMar>
              <w:top w:w="90" w:type="dxa"/>
              <w:left w:w="120" w:type="dxa"/>
              <w:bottom w:w="90" w:type="dxa"/>
              <w:right w:w="120" w:type="dxa"/>
            </w:tcMar>
            <w:vAlign w:val="center"/>
          </w:tcPr>
          <w:p w14:paraId="6F6F0001" w14:textId="77777777" w:rsidR="000A30DA" w:rsidRDefault="00000000">
            <w:pPr>
              <w:jc w:val="center"/>
            </w:pPr>
            <w:r>
              <w:rPr>
                <w:color w:val="222222"/>
                <w:sz w:val="19"/>
                <w:szCs w:val="19"/>
              </w:rPr>
              <w:t>Managed by platform vendor</w:t>
            </w:r>
          </w:p>
        </w:tc>
        <w:tc>
          <w:tcPr>
            <w:tcW w:w="3550" w:type="dxa"/>
            <w:tcMar>
              <w:top w:w="90" w:type="dxa"/>
              <w:left w:w="120" w:type="dxa"/>
              <w:bottom w:w="90" w:type="dxa"/>
              <w:right w:w="120" w:type="dxa"/>
            </w:tcMar>
            <w:vAlign w:val="center"/>
          </w:tcPr>
          <w:p w14:paraId="1060169C" w14:textId="77777777" w:rsidR="000A30DA" w:rsidRDefault="00000000">
            <w:pPr>
              <w:jc w:val="center"/>
            </w:pPr>
            <w:r>
              <w:rPr>
                <w:color w:val="222222"/>
                <w:sz w:val="19"/>
                <w:szCs w:val="19"/>
              </w:rPr>
              <w:t>Fully controlled by the organization</w:t>
            </w:r>
          </w:p>
        </w:tc>
      </w:tr>
      <w:tr w:rsidR="000A30DA" w14:paraId="7A6C28E8" w14:textId="77777777">
        <w:tc>
          <w:tcPr>
            <w:tcW w:w="2600" w:type="dxa"/>
            <w:shd w:val="clear" w:color="auto" w:fill="F4F6F8"/>
            <w:tcMar>
              <w:top w:w="90" w:type="dxa"/>
              <w:left w:w="120" w:type="dxa"/>
              <w:bottom w:w="90" w:type="dxa"/>
              <w:right w:w="120" w:type="dxa"/>
            </w:tcMar>
            <w:vAlign w:val="center"/>
          </w:tcPr>
          <w:p w14:paraId="086A86C1" w14:textId="77777777" w:rsidR="000A30DA" w:rsidRDefault="00000000">
            <w:r>
              <w:rPr>
                <w:b/>
                <w:bCs/>
                <w:color w:val="222222"/>
                <w:sz w:val="19"/>
                <w:szCs w:val="19"/>
              </w:rPr>
              <w:t>Best Fit</w:t>
            </w:r>
          </w:p>
        </w:tc>
        <w:tc>
          <w:tcPr>
            <w:tcW w:w="3550" w:type="dxa"/>
            <w:shd w:val="clear" w:color="auto" w:fill="F4F6F8"/>
            <w:tcMar>
              <w:top w:w="90" w:type="dxa"/>
              <w:left w:w="120" w:type="dxa"/>
              <w:bottom w:w="90" w:type="dxa"/>
              <w:right w:w="120" w:type="dxa"/>
            </w:tcMar>
            <w:vAlign w:val="center"/>
          </w:tcPr>
          <w:p w14:paraId="79C05D05" w14:textId="77777777" w:rsidR="000A30DA" w:rsidRDefault="00000000">
            <w:pPr>
              <w:jc w:val="center"/>
            </w:pPr>
            <w:r>
              <w:rPr>
                <w:color w:val="222222"/>
                <w:sz w:val="19"/>
                <w:szCs w:val="19"/>
              </w:rPr>
              <w:t>Internal tools, MVPs, workflow apps</w:t>
            </w:r>
          </w:p>
        </w:tc>
        <w:tc>
          <w:tcPr>
            <w:tcW w:w="3550" w:type="dxa"/>
            <w:shd w:val="clear" w:color="auto" w:fill="F4F6F8"/>
            <w:tcMar>
              <w:top w:w="90" w:type="dxa"/>
              <w:left w:w="120" w:type="dxa"/>
              <w:bottom w:w="90" w:type="dxa"/>
              <w:right w:w="120" w:type="dxa"/>
            </w:tcMar>
            <w:vAlign w:val="center"/>
          </w:tcPr>
          <w:p w14:paraId="63BD90E2" w14:textId="77777777" w:rsidR="000A30DA" w:rsidRDefault="00000000">
            <w:pPr>
              <w:jc w:val="center"/>
            </w:pPr>
            <w:r>
              <w:rPr>
                <w:color w:val="222222"/>
                <w:sz w:val="19"/>
                <w:szCs w:val="19"/>
              </w:rPr>
              <w:t>Complex, mission-critical, high-scale systems</w:t>
            </w:r>
          </w:p>
        </w:tc>
      </w:tr>
    </w:tbl>
    <w:p w14:paraId="226A4152" w14:textId="77777777" w:rsidR="000A30DA" w:rsidRDefault="00000000">
      <w:pPr>
        <w:pStyle w:val="Heading1"/>
        <w:spacing w:before="320" w:after="160"/>
      </w:pPr>
      <w:r>
        <w:rPr>
          <w:b/>
          <w:bCs/>
          <w:color w:val="1F3A5F"/>
          <w:sz w:val="30"/>
          <w:szCs w:val="30"/>
        </w:rPr>
        <w:t>7. When to Choose Each Approach</w:t>
      </w:r>
    </w:p>
    <w:p w14:paraId="6158B623" w14:textId="77777777" w:rsidR="000A30DA" w:rsidRDefault="00000000">
      <w:pPr>
        <w:pStyle w:val="Heading2"/>
        <w:spacing w:before="240" w:after="120"/>
      </w:pPr>
      <w:r>
        <w:rPr>
          <w:b/>
          <w:bCs/>
          <w:color w:val="2E8B8B"/>
          <w:sz w:val="24"/>
          <w:szCs w:val="24"/>
        </w:rPr>
        <w:t>7.1 Choose Low-Code When:</w:t>
      </w:r>
    </w:p>
    <w:p w14:paraId="23504445" w14:textId="77777777" w:rsidR="000A30DA" w:rsidRDefault="00000000">
      <w:pPr>
        <w:pStyle w:val="ListParagraph"/>
        <w:numPr>
          <w:ilvl w:val="0"/>
          <w:numId w:val="1"/>
        </w:numPr>
        <w:spacing w:after="80"/>
      </w:pPr>
      <w:r>
        <w:rPr>
          <w:color w:val="222222"/>
          <w:sz w:val="21"/>
          <w:szCs w:val="21"/>
        </w:rPr>
        <w:t>The application is an internal tool, workflow automation, or minimum viable product (MVP).</w:t>
      </w:r>
    </w:p>
    <w:p w14:paraId="5957BF97" w14:textId="77777777" w:rsidR="000A30DA" w:rsidRDefault="00000000">
      <w:pPr>
        <w:pStyle w:val="ListParagraph"/>
        <w:numPr>
          <w:ilvl w:val="0"/>
          <w:numId w:val="1"/>
        </w:numPr>
        <w:spacing w:after="80"/>
      </w:pPr>
      <w:r>
        <w:rPr>
          <w:color w:val="222222"/>
          <w:sz w:val="21"/>
          <w:szCs w:val="21"/>
        </w:rPr>
        <w:t>Time-to-market is the top priority and requirements are relatively standard.</w:t>
      </w:r>
    </w:p>
    <w:p w14:paraId="165DEA5C" w14:textId="77777777" w:rsidR="000A30DA" w:rsidRDefault="00000000">
      <w:pPr>
        <w:pStyle w:val="ListParagraph"/>
        <w:numPr>
          <w:ilvl w:val="0"/>
          <w:numId w:val="1"/>
        </w:numPr>
        <w:spacing w:after="80"/>
      </w:pPr>
      <w:r>
        <w:rPr>
          <w:color w:val="222222"/>
          <w:sz w:val="21"/>
          <w:szCs w:val="21"/>
        </w:rPr>
        <w:t>The team has limited access to specialized software engineers.</w:t>
      </w:r>
    </w:p>
    <w:p w14:paraId="2BF4917B" w14:textId="77777777" w:rsidR="000A30DA" w:rsidRDefault="00000000">
      <w:pPr>
        <w:pStyle w:val="ListParagraph"/>
        <w:numPr>
          <w:ilvl w:val="0"/>
          <w:numId w:val="1"/>
        </w:numPr>
        <w:spacing w:after="80"/>
      </w:pPr>
      <w:r>
        <w:rPr>
          <w:color w:val="222222"/>
          <w:sz w:val="21"/>
          <w:szCs w:val="21"/>
        </w:rPr>
        <w:t>The expected user base and data volumes are small to moderate.</w:t>
      </w:r>
    </w:p>
    <w:p w14:paraId="607DEF27" w14:textId="77777777" w:rsidR="000A30DA" w:rsidRDefault="00000000">
      <w:pPr>
        <w:pStyle w:val="Heading2"/>
        <w:spacing w:before="240" w:after="120"/>
      </w:pPr>
      <w:r>
        <w:rPr>
          <w:b/>
          <w:bCs/>
          <w:color w:val="2E8B8B"/>
          <w:sz w:val="24"/>
          <w:szCs w:val="24"/>
        </w:rPr>
        <w:t>7.2 Choose Traditional Development When:</w:t>
      </w:r>
    </w:p>
    <w:p w14:paraId="5A4C9258" w14:textId="77777777" w:rsidR="000A30DA" w:rsidRDefault="00000000">
      <w:pPr>
        <w:pStyle w:val="ListParagraph"/>
        <w:numPr>
          <w:ilvl w:val="0"/>
          <w:numId w:val="1"/>
        </w:numPr>
        <w:spacing w:after="80"/>
      </w:pPr>
      <w:r>
        <w:rPr>
          <w:color w:val="222222"/>
          <w:sz w:val="21"/>
          <w:szCs w:val="21"/>
        </w:rPr>
        <w:t>The application requires deep customization, unique business logic, or novel user experiences.</w:t>
      </w:r>
    </w:p>
    <w:p w14:paraId="46971861" w14:textId="77777777" w:rsidR="000A30DA" w:rsidRDefault="00000000">
      <w:pPr>
        <w:pStyle w:val="ListParagraph"/>
        <w:numPr>
          <w:ilvl w:val="0"/>
          <w:numId w:val="1"/>
        </w:numPr>
        <w:spacing w:after="80"/>
      </w:pPr>
      <w:r>
        <w:rPr>
          <w:color w:val="222222"/>
          <w:sz w:val="21"/>
          <w:szCs w:val="21"/>
        </w:rPr>
        <w:t>Performance, scalability, or regulatory requirements demand full control over the technology stack.</w:t>
      </w:r>
    </w:p>
    <w:p w14:paraId="2D8F15FC" w14:textId="77777777" w:rsidR="000A30DA" w:rsidRDefault="00000000">
      <w:pPr>
        <w:pStyle w:val="ListParagraph"/>
        <w:numPr>
          <w:ilvl w:val="0"/>
          <w:numId w:val="1"/>
        </w:numPr>
        <w:spacing w:after="80"/>
      </w:pPr>
      <w:r>
        <w:rPr>
          <w:color w:val="222222"/>
          <w:sz w:val="21"/>
          <w:szCs w:val="21"/>
        </w:rPr>
        <w:t>The system is expected to operate at large scale over many years.</w:t>
      </w:r>
    </w:p>
    <w:p w14:paraId="654B28BB" w14:textId="77777777" w:rsidR="000A30DA" w:rsidRDefault="00000000">
      <w:pPr>
        <w:pStyle w:val="ListParagraph"/>
        <w:numPr>
          <w:ilvl w:val="0"/>
          <w:numId w:val="1"/>
        </w:numPr>
        <w:spacing w:after="80"/>
      </w:pPr>
      <w:r>
        <w:rPr>
          <w:color w:val="222222"/>
          <w:sz w:val="21"/>
          <w:szCs w:val="21"/>
        </w:rPr>
        <w:t>Long-term cost control and freedom from vendor lock-in are priorities.</w:t>
      </w:r>
    </w:p>
    <w:p w14:paraId="0F667304" w14:textId="77777777" w:rsidR="000A30DA" w:rsidRDefault="00000000">
      <w:pPr>
        <w:pStyle w:val="Heading1"/>
        <w:spacing w:before="320" w:after="160"/>
      </w:pPr>
      <w:r>
        <w:rPr>
          <w:b/>
          <w:bCs/>
          <w:color w:val="1F3A5F"/>
          <w:sz w:val="30"/>
          <w:szCs w:val="30"/>
        </w:rPr>
        <w:t>8. Conclusion</w:t>
      </w:r>
    </w:p>
    <w:p w14:paraId="68571533" w14:textId="77777777" w:rsidR="000A30DA" w:rsidRDefault="00000000">
      <w:pPr>
        <w:spacing w:after="160" w:line="300" w:lineRule="auto"/>
        <w:jc w:val="both"/>
      </w:pPr>
      <w:r>
        <w:rPr>
          <w:color w:val="222222"/>
          <w:sz w:val="21"/>
          <w:szCs w:val="21"/>
        </w:rPr>
        <w:t>Neither approach is universally superior — the right choice depends on project scope, timeline, budget, in-house skills, and long-term strategic goals. Low-code development offers compelling advantages in speed, accessibility, and initial cost for straightforward applications and internal tools, while traditional development remains the stronger choice for complex, high-scale, or highly customized systems where long-term control and performance are paramount. Many organizations are increasingly adopting a hybrid strategy — using low-code platforms for rapid internal tooling and citizen-developer initiatives, while reserving traditional development for core, mission-critical systems that define competitive advantage.</w:t>
      </w:r>
    </w:p>
    <w:sectPr w:rsidR="000A30DA">
      <w:headerReference w:type="even" r:id="rId17"/>
      <w:headerReference w:type="default" r:id="rId18"/>
      <w:footerReference w:type="default" r:id="rId19"/>
      <w:headerReference w:type="firs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56090" w14:textId="77777777" w:rsidR="00E32BF0" w:rsidRDefault="00E32BF0">
      <w:r>
        <w:separator/>
      </w:r>
    </w:p>
  </w:endnote>
  <w:endnote w:type="continuationSeparator" w:id="0">
    <w:p w14:paraId="362C9A48" w14:textId="77777777" w:rsidR="00E32BF0" w:rsidRDefault="00E32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EB60" w14:textId="77777777" w:rsidR="00F82CC5" w:rsidRDefault="00F82C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97AC" w14:textId="77777777" w:rsidR="00F82CC5" w:rsidRDefault="00F82C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E4295" w14:textId="77777777" w:rsidR="00F82CC5" w:rsidRDefault="00F82CC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F44CB" w14:textId="77777777" w:rsidR="000A30DA" w:rsidRDefault="00000000">
    <w:pPr>
      <w:jc w:val="center"/>
    </w:pPr>
    <w:r>
      <w:rPr>
        <w:color w:val="6B7076"/>
        <w:sz w:val="16"/>
        <w:szCs w:val="16"/>
      </w:rPr>
      <w:t xml:space="preserve">Page </w:t>
    </w:r>
    <w:r>
      <w:rPr>
        <w:color w:val="6B7076"/>
        <w:sz w:val="16"/>
        <w:szCs w:val="16"/>
      </w:rPr>
      <w:fldChar w:fldCharType="begin"/>
    </w:r>
    <w:r>
      <w:rPr>
        <w:color w:val="6B7076"/>
        <w:sz w:val="16"/>
        <w:szCs w:val="16"/>
      </w:rPr>
      <w:instrText>PAGE</w:instrText>
    </w:r>
    <w:r>
      <w:rPr>
        <w:color w:val="6B7076"/>
        <w:sz w:val="16"/>
        <w:szCs w:val="16"/>
      </w:rPr>
      <w:fldChar w:fldCharType="separate"/>
    </w:r>
    <w:r w:rsidR="006B0D5C">
      <w:rPr>
        <w:noProof/>
        <w:color w:val="6B7076"/>
        <w:sz w:val="16"/>
        <w:szCs w:val="16"/>
      </w:rPr>
      <w:t>2</w:t>
    </w:r>
    <w:r>
      <w:rPr>
        <w:color w:val="6B70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7B192" w14:textId="77777777" w:rsidR="00E32BF0" w:rsidRDefault="00E32BF0">
      <w:r>
        <w:separator/>
      </w:r>
    </w:p>
  </w:footnote>
  <w:footnote w:type="continuationSeparator" w:id="0">
    <w:p w14:paraId="759FC6B3" w14:textId="77777777" w:rsidR="00E32BF0" w:rsidRDefault="00E32B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93545" w14:textId="42519226" w:rsidR="00F82CC5" w:rsidRDefault="00F82CC5">
    <w:pPr>
      <w:pStyle w:val="Header"/>
    </w:pPr>
    <w:r>
      <w:rPr>
        <w:noProof/>
      </w:rPr>
      <w:pict w14:anchorId="105259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23423641" o:spid="_x0000_s1026" type="#_x0000_t136" style="position:absolute;margin-left:0;margin-top:0;width:494.9pt;height:164.95pt;rotation:315;z-index:-251655168;mso-position-horizontal:center;mso-position-horizontal-relative:margin;mso-position-vertical:center;mso-position-vertical-relative:margin" o:allowincell="f" fillcolor="silver" stroked="f">
          <v:fill opacity=".5"/>
          <v:textpath style="font-family:&quot;Calibri&quot;;font-size:1pt" string="241401083"/>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A9361" w14:textId="466D0C0C" w:rsidR="00F82CC5" w:rsidRDefault="00F82CC5">
    <w:pPr>
      <w:pStyle w:val="Header"/>
    </w:pPr>
    <w:r>
      <w:rPr>
        <w:noProof/>
      </w:rPr>
      <w:pict w14:anchorId="1A3034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23423642" o:spid="_x0000_s1027" type="#_x0000_t136" style="position:absolute;margin-left:0;margin-top:0;width:494.9pt;height:164.95pt;rotation:315;z-index:-251653120;mso-position-horizontal:center;mso-position-horizontal-relative:margin;mso-position-vertical:center;mso-position-vertical-relative:margin" o:allowincell="f" fillcolor="silver" stroked="f">
          <v:fill opacity=".5"/>
          <v:textpath style="font-family:&quot;Calibri&quot;;font-size:1pt" string="241401083"/>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A5434" w14:textId="654035F7" w:rsidR="00F82CC5" w:rsidRDefault="00F82CC5">
    <w:pPr>
      <w:pStyle w:val="Header"/>
    </w:pPr>
    <w:r>
      <w:rPr>
        <w:noProof/>
      </w:rPr>
      <w:pict w14:anchorId="375224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23423640" o:spid="_x0000_s1025" type="#_x0000_t136" style="position:absolute;margin-left:0;margin-top:0;width:494.9pt;height:164.95pt;rotation:315;z-index:-251657216;mso-position-horizontal:center;mso-position-horizontal-relative:margin;mso-position-vertical:center;mso-position-vertical-relative:margin" o:allowincell="f" fillcolor="silver" stroked="f">
          <v:fill opacity=".5"/>
          <v:textpath style="font-family:&quot;Calibri&quot;;font-size:1pt" string="241401083"/>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15EC" w14:textId="4142D5C4" w:rsidR="00F82CC5" w:rsidRDefault="00F82CC5">
    <w:pPr>
      <w:pStyle w:val="Header"/>
    </w:pPr>
    <w:r>
      <w:rPr>
        <w:noProof/>
      </w:rPr>
      <w:pict w14:anchorId="5D5C84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23423644" o:spid="_x0000_s1031" type="#_x0000_t136" style="position:absolute;margin-left:0;margin-top:0;width:494.9pt;height:164.95pt;rotation:315;z-index:-251644928;mso-position-horizontal:center;mso-position-horizontal-relative:margin;mso-position-vertical:center;mso-position-vertical-relative:margin" o:allowincell="f" fillcolor="silver" stroked="f">
          <v:fill opacity=".5"/>
          <v:textpath style="font-family:&quot;Calibri&quot;;font-size:1pt" string="241401083"/>
        </v:shape>
      </w:pict>
    </w:r>
    <w:r>
      <w:rPr>
        <w:noProof/>
      </w:rPr>
      <w:pict w14:anchorId="6833DD1A">
        <v:shape id="_x0000_s1030" type="#_x0000_t136" style="position:absolute;margin-left:0;margin-top:0;width:494.9pt;height:164.95pt;rotation:315;z-index:-251646976;mso-position-horizontal:center;mso-position-horizontal-relative:margin;mso-position-vertical:center;mso-position-vertical-relative:margin" o:allowincell="f" fillcolor="silver" stroked="f">
          <v:fill opacity=".5"/>
          <v:textpath style="font-family:&quot;Calibri&quot;;font-size:1pt" string="241401083"/>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4B4" w14:textId="44641916" w:rsidR="000A30DA" w:rsidRDefault="00F82CC5">
    <w:pPr>
      <w:pBdr>
        <w:bottom w:val="single" w:sz="4" w:space="0" w:color="CCCCCC"/>
      </w:pBdr>
      <w:jc w:val="right"/>
    </w:pPr>
    <w:r>
      <w:rPr>
        <w:noProof/>
      </w:rPr>
      <w:pict w14:anchorId="17FF9E2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23423645" o:spid="_x0000_s1032" type="#_x0000_t136" style="position:absolute;left:0;text-align:left;margin-left:0;margin-top:0;width:494.9pt;height:164.95pt;rotation:315;z-index:-251642880;mso-position-horizontal:center;mso-position-horizontal-relative:margin;mso-position-vertical:center;mso-position-vertical-relative:margin" o:allowincell="f" fillcolor="silver" stroked="f">
          <v:fill opacity=".5"/>
          <v:textpath style="font-family:&quot;Calibri&quot;;font-size:1pt" string="241401083"/>
        </v:shape>
      </w:pict>
    </w:r>
    <w:r w:rsidR="00000000">
      <w:rPr>
        <w:i/>
        <w:iCs/>
        <w:color w:val="6B7076"/>
        <w:sz w:val="16"/>
        <w:szCs w:val="16"/>
      </w:rPr>
      <w:t>Low-Code vs. Traditional Development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89F2" w14:textId="1C47B96A" w:rsidR="00F82CC5" w:rsidRDefault="00F82CC5">
    <w:pPr>
      <w:pStyle w:val="Header"/>
    </w:pPr>
    <w:r>
      <w:rPr>
        <w:noProof/>
      </w:rPr>
      <w:pict w14:anchorId="26EE3A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23423643" o:spid="_x0000_s1029" type="#_x0000_t136" style="position:absolute;margin-left:0;margin-top:0;width:494.9pt;height:164.95pt;rotation:315;z-index:-251649024;mso-position-horizontal:center;mso-position-horizontal-relative:margin;mso-position-vertical:center;mso-position-vertical-relative:margin" o:allowincell="f" fillcolor="silver" stroked="f">
          <v:fill opacity=".5"/>
          <v:textpath style="font-family:&quot;Calibri&quot;;font-size:1pt" string="241401083"/>
        </v:shape>
      </w:pict>
    </w:r>
    <w:r>
      <w:rPr>
        <w:noProof/>
      </w:rPr>
      <w:pict w14:anchorId="3924A909">
        <v:shape id="_x0000_s1028" type="#_x0000_t136" style="position:absolute;margin-left:0;margin-top:0;width:494.9pt;height:164.95pt;rotation:315;z-index:-251651072;mso-position-horizontal:center;mso-position-horizontal-relative:margin;mso-position-vertical:center;mso-position-vertical-relative:margin" o:allowincell="f" fillcolor="silver" stroked="f">
          <v:fill opacity=".5"/>
          <v:textpath style="font-family:&quot;Calibri&quot;;font-size:1pt" string="241401083"/>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36B0"/>
    <w:multiLevelType w:val="hybridMultilevel"/>
    <w:tmpl w:val="52B8BECA"/>
    <w:lvl w:ilvl="0" w:tplc="D8C0F940">
      <w:start w:val="1"/>
      <w:numFmt w:val="bullet"/>
      <w:lvlText w:val="●"/>
      <w:lvlJc w:val="left"/>
      <w:pPr>
        <w:ind w:left="720" w:hanging="360"/>
      </w:pPr>
    </w:lvl>
    <w:lvl w:ilvl="1" w:tplc="C82844D6">
      <w:start w:val="1"/>
      <w:numFmt w:val="bullet"/>
      <w:lvlText w:val="○"/>
      <w:lvlJc w:val="left"/>
      <w:pPr>
        <w:ind w:left="1440" w:hanging="360"/>
      </w:pPr>
    </w:lvl>
    <w:lvl w:ilvl="2" w:tplc="53DA463E">
      <w:start w:val="1"/>
      <w:numFmt w:val="bullet"/>
      <w:lvlText w:val="■"/>
      <w:lvlJc w:val="left"/>
      <w:pPr>
        <w:ind w:left="2160" w:hanging="360"/>
      </w:pPr>
    </w:lvl>
    <w:lvl w:ilvl="3" w:tplc="3BE2B984">
      <w:start w:val="1"/>
      <w:numFmt w:val="bullet"/>
      <w:lvlText w:val="●"/>
      <w:lvlJc w:val="left"/>
      <w:pPr>
        <w:ind w:left="2880" w:hanging="360"/>
      </w:pPr>
    </w:lvl>
    <w:lvl w:ilvl="4" w:tplc="77F8E38A">
      <w:start w:val="1"/>
      <w:numFmt w:val="bullet"/>
      <w:lvlText w:val="○"/>
      <w:lvlJc w:val="left"/>
      <w:pPr>
        <w:ind w:left="3600" w:hanging="360"/>
      </w:pPr>
    </w:lvl>
    <w:lvl w:ilvl="5" w:tplc="D66A19C0">
      <w:start w:val="1"/>
      <w:numFmt w:val="bullet"/>
      <w:lvlText w:val="■"/>
      <w:lvlJc w:val="left"/>
      <w:pPr>
        <w:ind w:left="4320" w:hanging="360"/>
      </w:pPr>
    </w:lvl>
    <w:lvl w:ilvl="6" w:tplc="47446660">
      <w:start w:val="1"/>
      <w:numFmt w:val="bullet"/>
      <w:lvlText w:val="●"/>
      <w:lvlJc w:val="left"/>
      <w:pPr>
        <w:ind w:left="5040" w:hanging="360"/>
      </w:pPr>
    </w:lvl>
    <w:lvl w:ilvl="7" w:tplc="E9EEF956">
      <w:start w:val="1"/>
      <w:numFmt w:val="bullet"/>
      <w:lvlText w:val="●"/>
      <w:lvlJc w:val="left"/>
      <w:pPr>
        <w:ind w:left="5760" w:hanging="360"/>
      </w:pPr>
    </w:lvl>
    <w:lvl w:ilvl="8" w:tplc="D9682906">
      <w:start w:val="1"/>
      <w:numFmt w:val="bullet"/>
      <w:lvlText w:val="●"/>
      <w:lvlJc w:val="left"/>
      <w:pPr>
        <w:ind w:left="6480" w:hanging="360"/>
      </w:pPr>
    </w:lvl>
  </w:abstractNum>
  <w:num w:numId="1" w16cid:durableId="724912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0DA"/>
    <w:rsid w:val="000A30DA"/>
    <w:rsid w:val="006B0D5C"/>
    <w:rsid w:val="009B6333"/>
    <w:rsid w:val="00C035FA"/>
    <w:rsid w:val="00C910B9"/>
    <w:rsid w:val="00D84B25"/>
    <w:rsid w:val="00E32BF0"/>
    <w:rsid w:val="00F82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A23D8"/>
  <w15:docId w15:val="{47A62E8D-E08C-47EB-A20B-F2F028986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82CC5"/>
    <w:pPr>
      <w:tabs>
        <w:tab w:val="center" w:pos="4513"/>
        <w:tab w:val="right" w:pos="9026"/>
      </w:tabs>
    </w:pPr>
  </w:style>
  <w:style w:type="character" w:customStyle="1" w:styleId="HeaderChar">
    <w:name w:val="Header Char"/>
    <w:basedOn w:val="DefaultParagraphFont"/>
    <w:link w:val="Header"/>
    <w:uiPriority w:val="99"/>
    <w:rsid w:val="00F82CC5"/>
  </w:style>
  <w:style w:type="paragraph" w:styleId="Footer">
    <w:name w:val="footer"/>
    <w:basedOn w:val="Normal"/>
    <w:link w:val="FooterChar"/>
    <w:uiPriority w:val="99"/>
    <w:unhideWhenUsed/>
    <w:rsid w:val="00F82CC5"/>
    <w:pPr>
      <w:tabs>
        <w:tab w:val="center" w:pos="4513"/>
        <w:tab w:val="right" w:pos="9026"/>
      </w:tabs>
    </w:pPr>
  </w:style>
  <w:style w:type="character" w:customStyle="1" w:styleId="FooterChar">
    <w:name w:val="Footer Char"/>
    <w:basedOn w:val="DefaultParagraphFont"/>
    <w:link w:val="Footer"/>
    <w:uiPriority w:val="99"/>
    <w:rsid w:val="00F82C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1026</Words>
  <Characters>5854</Characters>
  <Application>Microsoft Office Word</Application>
  <DocSecurity>0</DocSecurity>
  <Lines>48</Lines>
  <Paragraphs>13</Paragraphs>
  <ScaleCrop>false</ScaleCrop>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sharmilakasthuri2307@outlook.com</cp:lastModifiedBy>
  <cp:revision>2</cp:revision>
  <dcterms:created xsi:type="dcterms:W3CDTF">2026-07-27T09:07:00Z</dcterms:created>
  <dcterms:modified xsi:type="dcterms:W3CDTF">2026-07-27T09:07:00Z</dcterms:modified>
</cp:coreProperties>
</file>