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20"/>
              <w:left w:type="dxa" w:w="400"/>
              <w:bottom w:type="dxa" w:w="240"/>
              <w:right w:type="dxa" w:w="400"/>
            </w:tcMar>
          </w:tcPr>
          <w:p>
            <w:pPr>
              <w:spacing w:after="80"/>
              <w:jc w:val="left"/>
            </w:pPr>
            <w:r>
              <w:rPr>
                <w:rFonts w:ascii="Arial" w:cs="Arial" w:eastAsia="Arial" w:hAnsi="Arial"/>
                <w:b/>
                <w:bCs/>
                <w:color w:val="FFFFFF"/>
                <w:sz w:val="36"/>
                <w:szCs w:val="36"/>
              </w:rPr>
              <w:t xml:space="preserve">AI USAGE DOCUMENTATION</w:t>
            </w:r>
          </w:p>
          <w:p>
            <w:pPr>
              <w:spacing w:after="80"/>
              <w:jc w:val="left"/>
            </w:pPr>
            <w:r>
              <w:rPr>
                <w:rFonts w:ascii="Arial" w:cs="Arial" w:eastAsia="Arial" w:hAnsi="Arial"/>
                <w:color w:val="94A3B8"/>
                <w:sz w:val="24"/>
                <w:szCs w:val="24"/>
              </w:rPr>
              <w:t xml:space="preserve">Secure Lens AI  —  Cybersecurity Log Analysis Platform</w:t>
            </w:r>
          </w:p>
          <w:p>
            <w:pPr>
              <w:spacing w:after="0"/>
              <w:jc w:val="left"/>
            </w:pPr>
            <w:r>
              <w:rPr>
                <w:rFonts w:ascii="Arial" w:cs="Arial" w:eastAsia="Arial" w:hAnsi="Arial"/>
                <w:color w:val="64748B"/>
                <w:sz w:val="20"/>
                <w:szCs w:val="20"/>
              </w:rPr>
              <w:t xml:space="preserve">Submitted by: Roshan Manglani   |   </w:t>
            </w:r>
            <w:r>
              <w:rPr>
                <w:rFonts w:ascii="Arial" w:cs="Arial" w:eastAsia="Arial" w:hAnsi="Arial"/>
                <w:color w:val="64748B"/>
                <w:sz w:val="20"/>
                <w:szCs w:val="20"/>
              </w:rPr>
              <w:t xml:space="preserve">Date: March 2026</w:t>
            </w:r>
          </w:p>
        </w:tc>
      </w:tr>
    </w:tbl>
    <w:p>
      <w:pPr>
        <w:spacing w:before="200" w:after="0"/>
      </w:pPr>
    </w:p>
    <w:p>
      <w:pPr>
        <w:pStyle w:val="Heading1"/>
        <w:spacing w:before="360" w:after="120"/>
      </w:pPr>
      <w:r>
        <w:rPr>
          <w:rFonts w:ascii="Arial" w:cs="Arial" w:eastAsia="Arial" w:hAnsi="Arial"/>
          <w:b/>
          <w:bCs/>
          <w:color w:val="1E293B"/>
          <w:sz w:val="28"/>
          <w:szCs w:val="28"/>
        </w:rPr>
        <w:t xml:space="preserve">1. Purpose of This Document</w:t>
      </w:r>
    </w:p>
    <w:p>
      <w:pPr>
        <w:spacing w:before="80" w:after="120" w:line="320"/>
      </w:pPr>
      <w:r>
        <w:rPr>
          <w:rFonts w:ascii="Arial" w:cs="Arial" w:eastAsia="Arial" w:hAnsi="Arial"/>
          <w:color w:val="2D3748"/>
          <w:sz w:val="22"/>
          <w:szCs w:val="22"/>
        </w:rPr>
        <w:t xml:space="preserve">This document is written to clearly explain how and where artificial intelligence is used within the Secure Lens AI application, as required by the assignment brief. Rather than a generic description, the aim here is to walk through the specific design decisions I made — why I chose to bring AI into the project, how it fits alongside a traditional rule-based system, and what happens when AI is not available or when usage limits are hit.</w:t>
      </w:r>
    </w:p>
    <w:p>
      <w:pPr>
        <w:spacing w:before="80" w:after="120" w:line="320"/>
      </w:pPr>
      <w:r>
        <w:rPr>
          <w:rFonts w:ascii="Arial" w:cs="Arial" w:eastAsia="Arial" w:hAnsi="Arial"/>
          <w:color w:val="2D3748"/>
          <w:sz w:val="22"/>
          <w:szCs w:val="22"/>
        </w:rPr>
        <w:t xml:space="preserve">The honest answer is that I did not want AI to be a gimmick in this project. From the beginning, I wanted it to serve a real purpose: to read security log files and produce analysis that is actually useful, not just a list of flagged lines. That requirement shaped every architectural decision described below.</w:t>
      </w:r>
    </w:p>
    <w:p>
      <w:pPr>
        <w:pBdr>
          <w:bottom w:val="single" w:color="14B8A6" w:sz="4" w:space="1"/>
        </w:pBdr>
        <w:spacing w:before="160" w:after="160"/>
      </w:pPr>
    </w:p>
    <w:p>
      <w:pPr>
        <w:pStyle w:val="Heading1"/>
        <w:spacing w:before="360" w:after="120"/>
      </w:pPr>
      <w:r>
        <w:rPr>
          <w:rFonts w:ascii="Arial" w:cs="Arial" w:eastAsia="Arial" w:hAnsi="Arial"/>
          <w:b/>
          <w:bCs/>
          <w:color w:val="1E293B"/>
          <w:sz w:val="28"/>
          <w:szCs w:val="28"/>
        </w:rPr>
        <w:t xml:space="preserve">2. Where AI Is Used in the Application</w:t>
      </w:r>
    </w:p>
    <w:p>
      <w:pPr>
        <w:pStyle w:val="Heading2"/>
        <w:spacing w:before="280" w:after="80"/>
      </w:pPr>
      <w:r>
        <w:rPr>
          <w:rFonts w:ascii="Arial" w:cs="Arial" w:eastAsia="Arial" w:hAnsi="Arial"/>
          <w:b/>
          <w:bCs/>
          <w:color w:val="0D9488"/>
          <w:sz w:val="24"/>
          <w:szCs w:val="24"/>
        </w:rPr>
        <w:t xml:space="preserve">2.1  The Core Use Case — Log File Analysis</w:t>
      </w:r>
    </w:p>
    <w:p>
      <w:pPr>
        <w:spacing w:before="80" w:after="120" w:line="320"/>
      </w:pPr>
      <w:r>
        <w:rPr>
          <w:rFonts w:ascii="Arial" w:cs="Arial" w:eastAsia="Arial" w:hAnsi="Arial"/>
          <w:color w:val="2D3748"/>
          <w:sz w:val="22"/>
          <w:szCs w:val="22"/>
        </w:rPr>
        <w:t xml:space="preserve">The primary and only place AI is used in this application is in the log analysis engine, located in backend/analyzers/ai_analyzer.py. When a user uploads a security log file (in any format — CSV, JSON, plain text, pipe-delimited), the application passes the parsed log content to this engine for analysis.</w:t>
      </w:r>
    </w:p>
    <w:p>
      <w:pPr>
        <w:spacing w:before="80" w:after="120" w:line="320"/>
      </w:pPr>
      <w:r>
        <w:rPr>
          <w:rFonts w:ascii="Arial" w:cs="Arial" w:eastAsia="Arial" w:hAnsi="Arial"/>
          <w:color w:val="2D3748"/>
          <w:sz w:val="22"/>
          <w:szCs w:val="22"/>
        </w:rPr>
        <w:t xml:space="preserve">The engine is responsible for producing:</w:t>
      </w:r>
    </w:p>
    <w:p>
      <w:pPr>
        <w:pStyle w:val="ListParagraph"/>
        <w:numPr>
          <w:ilvl w:val="0"/>
          <w:numId w:val="2"/>
        </w:numPr>
        <w:spacing w:before="60" w:after="60" w:line="300"/>
      </w:pPr>
      <w:r>
        <w:rPr>
          <w:rFonts w:ascii="Arial" w:cs="Arial" w:eastAsia="Arial" w:hAnsi="Arial"/>
          <w:color w:val="2D3748"/>
          <w:sz w:val="22"/>
          <w:szCs w:val="22"/>
        </w:rPr>
        <w:t xml:space="preserve">An executive summary of the overall security posture observed in the logs</w:t>
      </w:r>
    </w:p>
    <w:p>
      <w:pPr>
        <w:pStyle w:val="ListParagraph"/>
        <w:numPr>
          <w:ilvl w:val="0"/>
          <w:numId w:val="2"/>
        </w:numPr>
        <w:spacing w:before="60" w:after="60" w:line="300"/>
      </w:pPr>
      <w:r>
        <w:rPr>
          <w:rFonts w:ascii="Arial" w:cs="Arial" w:eastAsia="Arial" w:hAnsi="Arial"/>
          <w:color w:val="2D3748"/>
          <w:sz w:val="22"/>
          <w:szCs w:val="22"/>
        </w:rPr>
        <w:t xml:space="preserve">A risk score between 0 and 100 based on detected threat patterns</w:t>
      </w:r>
    </w:p>
    <w:p>
      <w:pPr>
        <w:pStyle w:val="ListParagraph"/>
        <w:numPr>
          <w:ilvl w:val="0"/>
          <w:numId w:val="2"/>
        </w:numPr>
        <w:spacing w:before="60" w:after="60" w:line="300"/>
      </w:pPr>
      <w:r>
        <w:rPr>
          <w:rFonts w:ascii="Arial" w:cs="Arial" w:eastAsia="Arial" w:hAnsi="Arial"/>
          <w:color w:val="2D3748"/>
          <w:sz w:val="22"/>
          <w:szCs w:val="22"/>
        </w:rPr>
        <w:t xml:space="preserve">A risk assessment label (Critical / High / Medium / Low)</w:t>
      </w:r>
    </w:p>
    <w:p>
      <w:pPr>
        <w:pStyle w:val="ListParagraph"/>
        <w:numPr>
          <w:ilvl w:val="0"/>
          <w:numId w:val="2"/>
        </w:numPr>
        <w:spacing w:before="60" w:after="60" w:line="300"/>
      </w:pPr>
      <w:r>
        <w:rPr>
          <w:rFonts w:ascii="Arial" w:cs="Arial" w:eastAsia="Arial" w:hAnsi="Arial"/>
          <w:color w:val="2D3748"/>
          <w:sz w:val="22"/>
          <w:szCs w:val="22"/>
        </w:rPr>
        <w:t xml:space="preserve">A timeline of events ordered by severity</w:t>
      </w:r>
    </w:p>
    <w:p>
      <w:pPr>
        <w:pStyle w:val="ListParagraph"/>
        <w:numPr>
          <w:ilvl w:val="0"/>
          <w:numId w:val="2"/>
        </w:numPr>
        <w:spacing w:before="60" w:after="60" w:line="300"/>
      </w:pPr>
      <w:r>
        <w:rPr>
          <w:rFonts w:ascii="Arial" w:cs="Arial" w:eastAsia="Arial" w:hAnsi="Arial"/>
          <w:color w:val="2D3748"/>
          <w:sz w:val="22"/>
          <w:szCs w:val="22"/>
        </w:rPr>
        <w:t xml:space="preserve">Specific threat findings with MITRE ATT&amp;CK framework mappings</w:t>
      </w:r>
    </w:p>
    <w:p>
      <w:pPr>
        <w:pStyle w:val="ListParagraph"/>
        <w:numPr>
          <w:ilvl w:val="0"/>
          <w:numId w:val="2"/>
        </w:numPr>
        <w:spacing w:before="60" w:after="60" w:line="300"/>
      </w:pPr>
      <w:r>
        <w:rPr>
          <w:rFonts w:ascii="Arial" w:cs="Arial" w:eastAsia="Arial" w:hAnsi="Arial"/>
          <w:color w:val="2D3748"/>
          <w:sz w:val="22"/>
          <w:szCs w:val="22"/>
        </w:rPr>
        <w:t xml:space="preserve">Actionable recommendations for the security team</w:t>
      </w:r>
    </w:p>
    <w:p>
      <w:pPr>
        <w:spacing w:before="60" w:after="0"/>
      </w:pPr>
    </w:p>
    <w:p>
      <w:pPr>
        <w:spacing w:before="80" w:after="120" w:line="320"/>
      </w:pPr>
      <w:r>
        <w:rPr>
          <w:rFonts w:ascii="Arial" w:cs="Arial" w:eastAsia="Arial" w:hAnsi="Arial"/>
          <w:color w:val="2D3748"/>
          <w:sz w:val="22"/>
          <w:szCs w:val="22"/>
        </w:rPr>
        <w:t xml:space="preserve">Without AI, producing a genuinely useful executive summary would be very difficult. Rule-based systems are good at spotting specific patterns, but they struggle to synthesise multiple findings into a coherent narrative that someone can act on. That is where GPT-4 adds real value — it can read the log content and produce a summary that reads like it was written by a security analyst, not generated by an algorithm.</w:t>
      </w:r>
    </w:p>
    <w:p>
      <w:pPr>
        <w:spacing w:before="80" w:after="0"/>
      </w:pPr>
    </w:p>
    <w:p>
      <w:pPr>
        <w:pStyle w:val="Heading2"/>
        <w:spacing w:before="280" w:after="80"/>
      </w:pPr>
      <w:r>
        <w:rPr>
          <w:rFonts w:ascii="Arial" w:cs="Arial" w:eastAsia="Arial" w:hAnsi="Arial"/>
          <w:b/>
          <w:bCs/>
          <w:color w:val="0D9488"/>
          <w:sz w:val="24"/>
          <w:szCs w:val="24"/>
        </w:rPr>
        <w:t xml:space="preserve">2.2  AI Is Not Used Anywhere Else</w:t>
      </w:r>
    </w:p>
    <w:p>
      <w:pPr>
        <w:spacing w:before="80" w:after="120" w:line="320"/>
      </w:pPr>
      <w:r>
        <w:rPr>
          <w:rFonts w:ascii="Arial" w:cs="Arial" w:eastAsia="Arial" w:hAnsi="Arial"/>
          <w:color w:val="2D3748"/>
          <w:sz w:val="22"/>
          <w:szCs w:val="22"/>
        </w:rPr>
        <w:t xml:space="preserve">To be transparent: AI is not used for authentication, routing, database queries, front-end rendering, or any other part of the application. It is solely contained within the analysis engine. This was a deliberate choice to keep the AI integration purposeful and auditable.</w:t>
      </w:r>
    </w:p>
    <w:p>
      <w:pPr>
        <w:pBdr>
          <w:bottom w:val="single" w:color="14B8A6" w:sz="4" w:space="1"/>
        </w:pBdr>
        <w:spacing w:before="160" w:after="160"/>
      </w:pPr>
    </w:p>
    <w:p>
      <w:pPr>
        <w:pStyle w:val="Heading1"/>
        <w:spacing w:before="360" w:after="120"/>
      </w:pPr>
      <w:r>
        <w:rPr>
          <w:rFonts w:ascii="Arial" w:cs="Arial" w:eastAsia="Arial" w:hAnsi="Arial"/>
          <w:b/>
          <w:bCs/>
          <w:color w:val="1E293B"/>
          <w:sz w:val="28"/>
          <w:szCs w:val="28"/>
        </w:rPr>
        <w:t xml:space="preserve">3. The Hybrid Analysis Approach</w:t>
      </w:r>
    </w:p>
    <w:p>
      <w:pPr>
        <w:spacing w:before="80" w:after="120" w:line="320"/>
      </w:pPr>
      <w:r>
        <w:rPr>
          <w:rFonts w:ascii="Arial" w:cs="Arial" w:eastAsia="Arial" w:hAnsi="Arial"/>
          <w:color w:val="2D3748"/>
          <w:sz w:val="22"/>
          <w:szCs w:val="22"/>
        </w:rPr>
        <w:t xml:space="preserve">The most important design decision in this project is the hybrid analysis architecture. Rather than relying on AI alone — which would make the application completely dependent on external API availability and token costs — I built a two-layered system.</w:t>
      </w:r>
    </w:p>
    <w:p>
      <w:pPr>
        <w:pStyle w:val="Heading2"/>
        <w:spacing w:before="280" w:after="80"/>
      </w:pPr>
      <w:r>
        <w:rPr>
          <w:rFonts w:ascii="Arial" w:cs="Arial" w:eastAsia="Arial" w:hAnsi="Arial"/>
          <w:b/>
          <w:bCs/>
          <w:color w:val="0D9488"/>
          <w:sz w:val="24"/>
          <w:szCs w:val="24"/>
        </w:rPr>
        <w:t xml:space="preserve">3.1  Layer 1 — Rule-Based Anomaly Detection</w:t>
      </w:r>
    </w:p>
    <w:p>
      <w:pPr>
        <w:spacing w:before="80" w:after="120" w:line="320"/>
      </w:pPr>
      <w:r>
        <w:rPr>
          <w:rFonts w:ascii="Arial" w:cs="Arial" w:eastAsia="Arial" w:hAnsi="Arial"/>
          <w:color w:val="2D3748"/>
          <w:sz w:val="22"/>
          <w:szCs w:val="22"/>
        </w:rPr>
        <w:t xml:space="preserve">Before any AI call is made, the log file is run through a set of ten hand-crafted detection rules. These rules look for specific patterns that are commonly associated with attacks or suspicious behaviour in network and application logs. Each rule maps to a MITRE ATT&amp;CK technique, so even the rule-based output is structured around a real threat intelligence framework.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Rule 1</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Brute Force Login — T1110: Repeated failed authentication attempts from a single source</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Rule 2</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Port Scanning — T1046: Sequential connection attempts across multiple destination ports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Rule 3</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Data Exfiltration — T1041: Unusually large outbound transfer volumes to external IPs</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Rule 4</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SQL Injection — T1190: Payloads containing classic SQL injection patterns in request logs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Rule 5</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Privilege Escalation — T1068: Sudo or admin commands from non-privileged accounts</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Rule 6</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Lateral Movement — T1021: Internal network connections suggesting East-West traversal</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Rule 7</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Command &amp; Control — T1071: Outbound traffic to known suspicious domains or IPs</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Rule 8</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Malware Execution — T1204: Execution of scripts or binaries with suspicious extensions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Rule 9</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Credential Dumping — T1003: Access to sensitive OS files like /etc/shadow or SAM</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Rule 10</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Anomalous Hours — T1078: Login or command activity outside normal business hours</w:t>
            </w:r>
          </w:p>
        </w:tc>
      </w:tr>
    </w:tbl>
    <w:p>
      <w:pPr>
        <w:spacing w:before="100" w:after="0"/>
      </w:pPr>
    </w:p>
    <w:p>
      <w:pPr>
        <w:spacing w:before="80" w:after="120" w:line="320"/>
      </w:pPr>
      <w:r>
        <w:rPr>
          <w:rFonts w:ascii="Arial" w:cs="Arial" w:eastAsia="Arial" w:hAnsi="Arial"/>
          <w:color w:val="2D3748"/>
          <w:sz w:val="22"/>
          <w:szCs w:val="22"/>
        </w:rPr>
        <w:t xml:space="preserve">These rules run entirely offline, require no API calls, and complete in milliseconds regardless of log file size. They form the backbone of the detection capability and are always active.</w:t>
      </w:r>
    </w:p>
    <w:p>
      <w:pPr>
        <w:spacing w:before="80" w:after="0"/>
      </w:pPr>
    </w:p>
    <w:p>
      <w:pPr>
        <w:pStyle w:val="Heading2"/>
        <w:spacing w:before="280" w:after="80"/>
      </w:pPr>
      <w:r>
        <w:rPr>
          <w:rFonts w:ascii="Arial" w:cs="Arial" w:eastAsia="Arial" w:hAnsi="Arial"/>
          <w:b/>
          <w:bCs/>
          <w:color w:val="0D9488"/>
          <w:sz w:val="24"/>
          <w:szCs w:val="24"/>
        </w:rPr>
        <w:t xml:space="preserve">3.2  Layer 2 — AI-Powered Synthesis (GPT-4)</w:t>
      </w:r>
    </w:p>
    <w:p>
      <w:pPr>
        <w:spacing w:before="80" w:after="120" w:line="320"/>
      </w:pPr>
      <w:r>
        <w:rPr>
          <w:rFonts w:ascii="Arial" w:cs="Arial" w:eastAsia="Arial" w:hAnsi="Arial"/>
          <w:color w:val="2D3748"/>
          <w:sz w:val="22"/>
          <w:szCs w:val="22"/>
        </w:rPr>
        <w:t xml:space="preserve">After the rule-based pass, if an OpenAI API key is configured in the environment, the application sends the log content along with the initial rule-based findings to GPT-4 via the OpenAI API. The AI model is asked to:</w:t>
      </w:r>
    </w:p>
    <w:p>
      <w:pPr>
        <w:pStyle w:val="ListParagraph"/>
        <w:numPr>
          <w:ilvl w:val="0"/>
          <w:numId w:val="2"/>
        </w:numPr>
        <w:spacing w:before="60" w:after="60" w:line="300"/>
      </w:pPr>
      <w:r>
        <w:rPr>
          <w:rFonts w:ascii="Arial" w:cs="Arial" w:eastAsia="Arial" w:hAnsi="Arial"/>
          <w:color w:val="2D3748"/>
          <w:sz w:val="22"/>
          <w:szCs w:val="22"/>
        </w:rPr>
        <w:t xml:space="preserve">Confirm, extend, or challenge the rule-based findings based on wider context in the logs</w:t>
      </w:r>
    </w:p>
    <w:p>
      <w:pPr>
        <w:pStyle w:val="ListParagraph"/>
        <w:numPr>
          <w:ilvl w:val="0"/>
          <w:numId w:val="2"/>
        </w:numPr>
        <w:spacing w:before="60" w:after="60" w:line="300"/>
      </w:pPr>
      <w:r>
        <w:rPr>
          <w:rFonts w:ascii="Arial" w:cs="Arial" w:eastAsia="Arial" w:hAnsi="Arial"/>
          <w:color w:val="2D3748"/>
          <w:sz w:val="22"/>
          <w:szCs w:val="22"/>
        </w:rPr>
        <w:t xml:space="preserve">Write an executive summary that explains the threat landscape in plain English</w:t>
      </w:r>
    </w:p>
    <w:p>
      <w:pPr>
        <w:pStyle w:val="ListParagraph"/>
        <w:numPr>
          <w:ilvl w:val="0"/>
          <w:numId w:val="2"/>
        </w:numPr>
        <w:spacing w:before="60" w:after="60" w:line="300"/>
      </w:pPr>
      <w:r>
        <w:rPr>
          <w:rFonts w:ascii="Arial" w:cs="Arial" w:eastAsia="Arial" w:hAnsi="Arial"/>
          <w:color w:val="2D3748"/>
          <w:sz w:val="22"/>
          <w:szCs w:val="22"/>
        </w:rPr>
        <w:t xml:space="preserve">Produce a calibrated risk score that accounts for nuance the rules may have missed</w:t>
      </w:r>
    </w:p>
    <w:p>
      <w:pPr>
        <w:pStyle w:val="ListParagraph"/>
        <w:numPr>
          <w:ilvl w:val="0"/>
          <w:numId w:val="2"/>
        </w:numPr>
        <w:spacing w:before="60" w:after="60" w:line="300"/>
      </w:pPr>
      <w:r>
        <w:rPr>
          <w:rFonts w:ascii="Arial" w:cs="Arial" w:eastAsia="Arial" w:hAnsi="Arial"/>
          <w:color w:val="2D3748"/>
          <w:sz w:val="22"/>
          <w:szCs w:val="22"/>
        </w:rPr>
        <w:t xml:space="preserve">List specific recommendations ordered by urgency and impact</w:t>
      </w:r>
    </w:p>
    <w:p>
      <w:pPr>
        <w:pStyle w:val="ListParagraph"/>
        <w:numPr>
          <w:ilvl w:val="0"/>
          <w:numId w:val="2"/>
        </w:numPr>
        <w:spacing w:before="60" w:after="60" w:line="300"/>
      </w:pPr>
      <w:r>
        <w:rPr>
          <w:rFonts w:ascii="Arial" w:cs="Arial" w:eastAsia="Arial" w:hAnsi="Arial"/>
          <w:color w:val="2D3748"/>
          <w:sz w:val="22"/>
          <w:szCs w:val="22"/>
        </w:rPr>
        <w:t xml:space="preserve">Identify any patterns or anomalies the rules did not catch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D9488" w:sz="12"/>
              <w:bottom w:val="single" w:color="CBD5E1" w:sz="1"/>
              <w:right w:val="single" w:color="CBD5E1" w:sz="1"/>
            </w:tcBorders>
            <w:shd w:fill="F0FDFA" w:val="clear"/>
            <w:tcMar>
              <w:top w:type="dxa" w:w="120"/>
              <w:left w:type="dxa" w:w="200"/>
              <w:bottom w:type="dxa" w:w="120"/>
              <w:right w:type="dxa" w:w="200"/>
            </w:tcMar>
          </w:tcPr>
          <w:p>
            <w:pPr>
              <w:spacing w:line="300"/>
            </w:pPr>
            <w:r>
              <w:rPr>
                <w:rFonts w:ascii="Arial" w:cs="Arial" w:eastAsia="Arial" w:hAnsi="Arial"/>
                <w:i/>
                <w:iCs/>
                <w:color w:val="134E4A"/>
                <w:sz w:val="21"/>
                <w:szCs w:val="21"/>
              </w:rPr>
              <w:t xml:space="preserve">The key insight here is that the rule-based layer and the AI layer are complementary, not competing. Rules give speed, determinism, and MITRE mapping. AI gives context, synthesis, and the kind of explanatory output that a human security analyst would actually find useful.</w:t>
            </w:r>
          </w:p>
        </w:tc>
      </w:tr>
    </w:tbl>
    <w:p>
      <w:pPr>
        <w:spacing w:before="100" w:after="0"/>
      </w:pPr>
    </w:p>
    <w:p>
      <w:pPr>
        <w:pStyle w:val="Heading2"/>
        <w:spacing w:before="280" w:after="80"/>
      </w:pPr>
      <w:r>
        <w:rPr>
          <w:rFonts w:ascii="Arial" w:cs="Arial" w:eastAsia="Arial" w:hAnsi="Arial"/>
          <w:b/>
          <w:bCs/>
          <w:color w:val="0D9488"/>
          <w:sz w:val="24"/>
          <w:szCs w:val="24"/>
        </w:rPr>
        <w:t xml:space="preserve">3.3  The Fallback Mechanism</w:t>
      </w:r>
    </w:p>
    <w:p>
      <w:pPr>
        <w:spacing w:before="80" w:after="120" w:line="320"/>
      </w:pPr>
      <w:r>
        <w:rPr>
          <w:rFonts w:ascii="Arial" w:cs="Arial" w:eastAsia="Arial" w:hAnsi="Arial"/>
          <w:color w:val="2D3748"/>
          <w:sz w:val="22"/>
          <w:szCs w:val="22"/>
        </w:rPr>
        <w:t xml:space="preserve">This is arguably the most practically important part of the architecture. There are several scenarios where the AI call will not succeed:</w:t>
      </w:r>
    </w:p>
    <w:p>
      <w:pPr>
        <w:pStyle w:val="ListParagraph"/>
        <w:numPr>
          <w:ilvl w:val="0"/>
          <w:numId w:val="2"/>
        </w:numPr>
        <w:spacing w:before="60" w:after="60" w:line="300"/>
      </w:pPr>
      <w:r>
        <w:rPr>
          <w:rFonts w:ascii="Arial" w:cs="Arial" w:eastAsia="Arial" w:hAnsi="Arial"/>
          <w:color w:val="2D3748"/>
          <w:sz w:val="22"/>
          <w:szCs w:val="22"/>
        </w:rPr>
        <w:t xml:space="preserve">No OPENAI_API_KEY is set in the .env file (e.g., running the app locally without a key)</w:t>
      </w:r>
    </w:p>
    <w:p>
      <w:pPr>
        <w:pStyle w:val="ListParagraph"/>
        <w:numPr>
          <w:ilvl w:val="0"/>
          <w:numId w:val="2"/>
        </w:numPr>
        <w:spacing w:before="60" w:after="60" w:line="300"/>
      </w:pPr>
      <w:r>
        <w:rPr>
          <w:rFonts w:ascii="Arial" w:cs="Arial" w:eastAsia="Arial" w:hAnsi="Arial"/>
          <w:color w:val="2D3748"/>
          <w:sz w:val="22"/>
          <w:szCs w:val="22"/>
        </w:rPr>
        <w:t xml:space="preserve">The API key has run out of credits or has hit its monthly token limit</w:t>
      </w:r>
    </w:p>
    <w:p>
      <w:pPr>
        <w:pStyle w:val="ListParagraph"/>
        <w:numPr>
          <w:ilvl w:val="0"/>
          <w:numId w:val="2"/>
        </w:numPr>
        <w:spacing w:before="60" w:after="60" w:line="300"/>
      </w:pPr>
      <w:r>
        <w:rPr>
          <w:rFonts w:ascii="Arial" w:cs="Arial" w:eastAsia="Arial" w:hAnsi="Arial"/>
          <w:color w:val="2D3748"/>
          <w:sz w:val="22"/>
          <w:szCs w:val="22"/>
        </w:rPr>
        <w:t xml:space="preserve">The uploaded log file is too large and would exceed the model's context window</w:t>
      </w:r>
    </w:p>
    <w:p>
      <w:pPr>
        <w:pStyle w:val="ListParagraph"/>
        <w:numPr>
          <w:ilvl w:val="0"/>
          <w:numId w:val="2"/>
        </w:numPr>
        <w:spacing w:before="60" w:after="60" w:line="300"/>
      </w:pPr>
      <w:r>
        <w:rPr>
          <w:rFonts w:ascii="Arial" w:cs="Arial" w:eastAsia="Arial" w:hAnsi="Arial"/>
          <w:color w:val="2D3748"/>
          <w:sz w:val="22"/>
          <w:szCs w:val="22"/>
        </w:rPr>
        <w:t xml:space="preserve">The OpenAI API is temporarily unavailable or rate-limiting the account</w:t>
      </w:r>
    </w:p>
    <w:p>
      <w:pPr>
        <w:spacing w:before="60" w:after="0"/>
      </w:pPr>
    </w:p>
    <w:p>
      <w:pPr>
        <w:spacing w:before="80" w:after="120" w:line="320"/>
      </w:pPr>
      <w:r>
        <w:rPr>
          <w:rFonts w:ascii="Arial" w:cs="Arial" w:eastAsia="Arial" w:hAnsi="Arial"/>
          <w:color w:val="2D3748"/>
          <w:sz w:val="22"/>
          <w:szCs w:val="22"/>
        </w:rPr>
        <w:t xml:space="preserve">In all of these cases, the application does not crash, throw an error, or return an empty result. Instead, it falls back gracefully to a purely rule-based analysis. The fallback engine generates all the same output fields — executive summary, risk score, risk assessment, timeline, findings, and recommendations — using only the ten detection rules and a set of template-based text generation functions. The user still receives a complete analysis report; the only difference is that it is powered by logic rather than a language model.</w:t>
      </w:r>
    </w:p>
    <w:p>
      <w:pPr>
        <w:spacing w:before="80" w:after="120" w:line="320"/>
      </w:pPr>
      <w:r>
        <w:rPr>
          <w:rFonts w:ascii="Arial" w:cs="Arial" w:eastAsia="Arial" w:hAnsi="Arial"/>
          <w:color w:val="2D3748"/>
          <w:sz w:val="22"/>
          <w:szCs w:val="22"/>
        </w:rPr>
        <w:t xml:space="preserve">The analysis output in the front end shows a label indicating whether the analysis was 'AI-Powered' or 'Rule-Based', so the user always knows which engine produced the result. This transparency felt important: it would be dishonest to label rule-based output as 'AI-Powered Analysis' just to make the product look more impressive.</w:t>
      </w:r>
    </w:p>
    <w:p>
      <w:pPr>
        <w:pBdr>
          <w:bottom w:val="single" w:color="14B8A6" w:sz="4" w:space="1"/>
        </w:pBdr>
        <w:spacing w:before="160" w:after="160"/>
      </w:pPr>
    </w:p>
    <w:p>
      <w:pPr>
        <w:pStyle w:val="Heading1"/>
        <w:spacing w:before="360" w:after="120"/>
      </w:pPr>
      <w:r>
        <w:rPr>
          <w:rFonts w:ascii="Arial" w:cs="Arial" w:eastAsia="Arial" w:hAnsi="Arial"/>
          <w:b/>
          <w:bCs/>
          <w:color w:val="1E293B"/>
          <w:sz w:val="28"/>
          <w:szCs w:val="28"/>
        </w:rPr>
        <w:t xml:space="preserve">4. The AI Model</w:t>
      </w:r>
    </w:p>
    <w:p>
      <w:pPr>
        <w:pStyle w:val="Heading2"/>
        <w:spacing w:before="280" w:after="80"/>
      </w:pPr>
      <w:r>
        <w:rPr>
          <w:rFonts w:ascii="Arial" w:cs="Arial" w:eastAsia="Arial" w:hAnsi="Arial"/>
          <w:b/>
          <w:bCs/>
          <w:color w:val="0D9488"/>
          <w:sz w:val="24"/>
          <w:szCs w:val="24"/>
        </w:rPr>
        <w:t xml:space="preserve">4.1  Model Selection — OpenAI GPT-4</w:t>
      </w:r>
    </w:p>
    <w:p>
      <w:pPr>
        <w:spacing w:before="80" w:after="120" w:line="320"/>
      </w:pPr>
      <w:r>
        <w:rPr>
          <w:rFonts w:ascii="Arial" w:cs="Arial" w:eastAsia="Arial" w:hAnsi="Arial"/>
          <w:color w:val="2D3748"/>
          <w:sz w:val="22"/>
          <w:szCs w:val="22"/>
        </w:rPr>
        <w:t xml:space="preserve">I chose GPT-4 via the OpenAI API for several reasons:</w:t>
      </w:r>
    </w:p>
    <w:p>
      <w:pPr>
        <w:pStyle w:val="ListParagraph"/>
        <w:numPr>
          <w:ilvl w:val="0"/>
          <w:numId w:val="2"/>
        </w:numPr>
        <w:spacing w:before="60" w:after="60" w:line="300"/>
      </w:pPr>
      <w:r>
        <w:rPr>
          <w:rFonts w:ascii="Arial" w:cs="Arial" w:eastAsia="Arial" w:hAnsi="Arial"/>
          <w:b/>
          <w:bCs/>
          <w:color w:val="1E293B"/>
          <w:sz w:val="22"/>
          <w:szCs w:val="22"/>
        </w:rPr>
        <w:t xml:space="preserve">GPT-4 has been trained on a large corpus that includes security research, threat intelligence reports, and technical documentation. It understands terminology like 'lateral movement', 'C2 beaconing', and 'credential stuffing' without needing to be explicitly taught those concepts.</w:t>
      </w:r>
      <w:r>
        <w:rPr>
          <w:rFonts w:ascii="Arial" w:cs="Arial" w:eastAsia="Arial" w:hAnsi="Arial"/>
          <w:color w:val="2D3748"/>
          <w:sz w:val="22"/>
          <w:szCs w:val="22"/>
        </w:rPr>
        <w:t xml:space="preserve">Security domain awareness: </w:t>
      </w:r>
    </w:p>
    <w:p>
      <w:pPr>
        <w:pStyle w:val="ListParagraph"/>
        <w:numPr>
          <w:ilvl w:val="0"/>
          <w:numId w:val="2"/>
        </w:numPr>
        <w:spacing w:before="60" w:after="60" w:line="300"/>
      </w:pPr>
      <w:r>
        <w:rPr>
          <w:rFonts w:ascii="Arial" w:cs="Arial" w:eastAsia="Arial" w:hAnsi="Arial"/>
          <w:b/>
          <w:bCs/>
          <w:color w:val="1E293B"/>
          <w:sz w:val="22"/>
          <w:szCs w:val="22"/>
        </w:rPr>
        <w:t xml:space="preserve">When asked to produce structured JSON with specific fields (summary, risk score, findings, recommendations), GPT-4 reliably returns well-formed output. Earlier experiments with smaller models produced malformed JSON that required significant post-processing.</w:t>
      </w:r>
      <w:r>
        <w:rPr>
          <w:rFonts w:ascii="Arial" w:cs="Arial" w:eastAsia="Arial" w:hAnsi="Arial"/>
          <w:color w:val="2D3748"/>
          <w:sz w:val="22"/>
          <w:szCs w:val="22"/>
        </w:rPr>
        <w:t xml:space="preserve">Quality of structured output: </w:t>
      </w:r>
    </w:p>
    <w:p>
      <w:pPr>
        <w:pStyle w:val="ListParagraph"/>
        <w:numPr>
          <w:ilvl w:val="0"/>
          <w:numId w:val="2"/>
        </w:numPr>
        <w:spacing w:before="60" w:after="60" w:line="300"/>
      </w:pPr>
      <w:r>
        <w:rPr>
          <w:rFonts w:ascii="Arial" w:cs="Arial" w:eastAsia="Arial" w:hAnsi="Arial"/>
          <w:b/>
          <w:bCs/>
          <w:color w:val="1E293B"/>
          <w:sz w:val="22"/>
          <w:szCs w:val="22"/>
        </w:rPr>
        <w:t xml:space="preserve">Log files can be large. GPT-4 supports a context window of up to 128,000 tokens in its latest versions, which allows the model to read a substantial portion of a log file in a single call without the need for chunking or summarisation preprocessing.</w:t>
      </w:r>
      <w:r>
        <w:rPr>
          <w:rFonts w:ascii="Arial" w:cs="Arial" w:eastAsia="Arial" w:hAnsi="Arial"/>
          <w:color w:val="2D3748"/>
          <w:sz w:val="22"/>
          <w:szCs w:val="22"/>
        </w:rPr>
        <w:t xml:space="preserve">Context window capacity: </w:t>
      </w:r>
    </w:p>
    <w:p>
      <w:pPr>
        <w:pStyle w:val="ListParagraph"/>
        <w:numPr>
          <w:ilvl w:val="0"/>
          <w:numId w:val="2"/>
        </w:numPr>
        <w:spacing w:before="60" w:after="60" w:line="300"/>
      </w:pPr>
      <w:r>
        <w:rPr>
          <w:rFonts w:ascii="Arial" w:cs="Arial" w:eastAsia="Arial" w:hAnsi="Arial"/>
          <w:b/>
          <w:bCs/>
          <w:color w:val="1E293B"/>
          <w:sz w:val="22"/>
          <w:szCs w:val="22"/>
        </w:rPr>
        <w:t xml:space="preserve">Security analysis requires reasoning — connecting a failed login at 2 AM with a successful one at 2:15 AM and an outbound connection at 2:30 AM is not a pattern any single rule will catch, but GPT-4 can reason across the full sequence of events.</w:t>
      </w:r>
      <w:r>
        <w:rPr>
          <w:rFonts w:ascii="Arial" w:cs="Arial" w:eastAsia="Arial" w:hAnsi="Arial"/>
          <w:color w:val="2D3748"/>
          <w:sz w:val="22"/>
          <w:szCs w:val="22"/>
        </w:rPr>
        <w:t xml:space="preserve">Reasoning quality: </w:t>
      </w:r>
    </w:p>
    <w:p>
      <w:pPr>
        <w:spacing w:before="80" w:after="0"/>
      </w:pPr>
    </w:p>
    <w:p>
      <w:pPr>
        <w:pStyle w:val="Heading2"/>
        <w:spacing w:before="280" w:after="80"/>
      </w:pPr>
      <w:r>
        <w:rPr>
          <w:rFonts w:ascii="Arial" w:cs="Arial" w:eastAsia="Arial" w:hAnsi="Arial"/>
          <w:b/>
          <w:bCs/>
          <w:color w:val="0D9488"/>
          <w:sz w:val="24"/>
          <w:szCs w:val="24"/>
        </w:rPr>
        <w:t xml:space="preserve">4.2  How the API Is Called</w:t>
      </w:r>
    </w:p>
    <w:p>
      <w:pPr>
        <w:spacing w:before="80" w:after="120" w:line="320"/>
      </w:pPr>
      <w:r>
        <w:rPr>
          <w:rFonts w:ascii="Arial" w:cs="Arial" w:eastAsia="Arial" w:hAnsi="Arial"/>
          <w:color w:val="2D3748"/>
          <w:sz w:val="22"/>
          <w:szCs w:val="22"/>
        </w:rPr>
        <w:t xml:space="preserve">The integration is in backend/analyzers/ai_analyzer.py. The function analyze_with_ai() checks for the OPENAI_API_KEY environment variable first — if it is not present, it immediately returns False to trigger the fallback. If the key exists, it constructs a structured prompt that includes:</w:t>
      </w:r>
    </w:p>
    <w:p>
      <w:pPr>
        <w:pStyle w:val="ListParagraph"/>
        <w:numPr>
          <w:ilvl w:val="0"/>
          <w:numId w:val="2"/>
        </w:numPr>
        <w:spacing w:before="60" w:after="60" w:line="300"/>
      </w:pPr>
      <w:r>
        <w:rPr>
          <w:rFonts w:ascii="Arial" w:cs="Arial" w:eastAsia="Arial" w:hAnsi="Arial"/>
          <w:color w:val="2D3748"/>
          <w:sz w:val="22"/>
          <w:szCs w:val="22"/>
        </w:rPr>
        <w:t xml:space="preserve">A system message describing the role (senior cybersecurity analyst)</w:t>
      </w:r>
    </w:p>
    <w:p>
      <w:pPr>
        <w:pStyle w:val="ListParagraph"/>
        <w:numPr>
          <w:ilvl w:val="0"/>
          <w:numId w:val="2"/>
        </w:numPr>
        <w:spacing w:before="60" w:after="60" w:line="300"/>
      </w:pPr>
      <w:r>
        <w:rPr>
          <w:rFonts w:ascii="Arial" w:cs="Arial" w:eastAsia="Arial" w:hAnsi="Arial"/>
          <w:color w:val="2D3748"/>
          <w:sz w:val="22"/>
          <w:szCs w:val="22"/>
        </w:rPr>
        <w:t xml:space="preserve">The raw log content, truncated if necessary to stay within the token budget</w:t>
      </w:r>
    </w:p>
    <w:p>
      <w:pPr>
        <w:pStyle w:val="ListParagraph"/>
        <w:numPr>
          <w:ilvl w:val="0"/>
          <w:numId w:val="2"/>
        </w:numPr>
        <w:spacing w:before="60" w:after="60" w:line="300"/>
      </w:pPr>
      <w:r>
        <w:rPr>
          <w:rFonts w:ascii="Arial" w:cs="Arial" w:eastAsia="Arial" w:hAnsi="Arial"/>
          <w:color w:val="2D3748"/>
          <w:sz w:val="22"/>
          <w:szCs w:val="22"/>
        </w:rPr>
        <w:t xml:space="preserve">An instruction to return the analysis as a JSON object with a defined schema</w:t>
      </w:r>
    </w:p>
    <w:p>
      <w:pPr>
        <w:pStyle w:val="ListParagraph"/>
        <w:numPr>
          <w:ilvl w:val="0"/>
          <w:numId w:val="2"/>
        </w:numPr>
        <w:spacing w:before="60" w:after="60" w:line="300"/>
      </w:pPr>
      <w:r>
        <w:rPr>
          <w:rFonts w:ascii="Arial" w:cs="Arial" w:eastAsia="Arial" w:hAnsi="Arial"/>
          <w:color w:val="2D3748"/>
          <w:sz w:val="22"/>
          <w:szCs w:val="22"/>
        </w:rPr>
        <w:t xml:space="preserve">The specific fields required: executive_summary, risk_score, risk_assessment, timeline, additional_findings, recommendations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D9488" w:sz="12"/>
              <w:bottom w:val="single" w:color="CBD5E1" w:sz="1"/>
              <w:right w:val="single" w:color="CBD5E1" w:sz="1"/>
            </w:tcBorders>
            <w:shd w:fill="F0FDFA" w:val="clear"/>
            <w:tcMar>
              <w:top w:type="dxa" w:w="120"/>
              <w:left w:type="dxa" w:w="200"/>
              <w:bottom w:type="dxa" w:w="120"/>
              <w:right w:type="dxa" w:w="200"/>
            </w:tcMar>
          </w:tcPr>
          <w:p>
            <w:pPr>
              <w:spacing w:line="300"/>
            </w:pPr>
            <w:r>
              <w:rPr>
                <w:rFonts w:ascii="Arial" w:cs="Arial" w:eastAsia="Arial" w:hAnsi="Arial"/>
                <w:i/>
                <w:iCs/>
                <w:color w:val="134E4A"/>
                <w:sz w:val="21"/>
                <w:szCs w:val="21"/>
              </w:rPr>
              <w:t xml:space="preserve">The model is never given instructions to return a positive or negative result. The prompt is deliberately neutral: it asks the model to analyse what is there and report what it finds, whether that is critical threats or a clean bill of health. This was important to me — a security tool that always finds something alarming would quickly lose user trust.</w:t>
            </w:r>
          </w:p>
        </w:tc>
      </w:tr>
    </w:tbl>
    <w:p>
      <w:pPr>
        <w:pBdr>
          <w:bottom w:val="single" w:color="14B8A6" w:sz="4" w:space="1"/>
        </w:pBdr>
        <w:spacing w:before="160" w:after="160"/>
      </w:pPr>
    </w:p>
    <w:p>
      <w:pPr>
        <w:pStyle w:val="Heading1"/>
        <w:spacing w:before="360" w:after="120"/>
      </w:pPr>
      <w:r>
        <w:rPr>
          <w:rFonts w:ascii="Arial" w:cs="Arial" w:eastAsia="Arial" w:hAnsi="Arial"/>
          <w:b/>
          <w:bCs/>
          <w:color w:val="1E293B"/>
          <w:sz w:val="28"/>
          <w:szCs w:val="28"/>
        </w:rPr>
        <w:t xml:space="preserve">5. How Log Files Are Analysed</w:t>
      </w:r>
    </w:p>
    <w:p>
      <w:pPr>
        <w:pStyle w:val="Heading2"/>
        <w:spacing w:before="280" w:after="80"/>
      </w:pPr>
      <w:r>
        <w:rPr>
          <w:rFonts w:ascii="Arial" w:cs="Arial" w:eastAsia="Arial" w:hAnsi="Arial"/>
          <w:b/>
          <w:bCs/>
          <w:color w:val="0D9488"/>
          <w:sz w:val="24"/>
          <w:szCs w:val="24"/>
        </w:rPr>
        <w:t xml:space="preserve">5.1  File Upload and Parsing</w:t>
      </w:r>
    </w:p>
    <w:p>
      <w:pPr>
        <w:spacing w:before="80" w:after="120" w:line="320"/>
      </w:pPr>
      <w:r>
        <w:rPr>
          <w:rFonts w:ascii="Arial" w:cs="Arial" w:eastAsia="Arial" w:hAnsi="Arial"/>
          <w:color w:val="2D3748"/>
          <w:sz w:val="22"/>
          <w:szCs w:val="22"/>
        </w:rPr>
        <w:t xml:space="preserve">Users upload log files through the web interface. The backend accepts files in any of the following formats: plain text (.txt, .log), CSV (.csv), JSON (.json), and pipe-delimited files. An intelligent parser in the backend reads the first few lines to determine the format automatically — the user does not need to specify it.</w:t>
      </w:r>
    </w:p>
    <w:p>
      <w:pPr>
        <w:spacing w:before="80" w:after="120" w:line="320"/>
      </w:pPr>
      <w:r>
        <w:rPr>
          <w:rFonts w:ascii="Arial" w:cs="Arial" w:eastAsia="Arial" w:hAnsi="Arial"/>
          <w:color w:val="2D3748"/>
          <w:sz w:val="22"/>
          <w:szCs w:val="22"/>
        </w:rPr>
        <w:t xml:space="preserve">Once parsed, the log is converted into a normalised internal representation (a list of event dictionaries), which both the rule engine and the AI model can consume.</w:t>
      </w:r>
    </w:p>
    <w:p>
      <w:pPr>
        <w:spacing w:before="80" w:after="0"/>
      </w:pPr>
    </w:p>
    <w:p>
      <w:pPr>
        <w:pStyle w:val="Heading2"/>
        <w:spacing w:before="280" w:after="80"/>
      </w:pPr>
      <w:r>
        <w:rPr>
          <w:rFonts w:ascii="Arial" w:cs="Arial" w:eastAsia="Arial" w:hAnsi="Arial"/>
          <w:b/>
          <w:bCs/>
          <w:color w:val="0D9488"/>
          <w:sz w:val="24"/>
          <w:szCs w:val="24"/>
        </w:rPr>
        <w:t xml:space="preserve">5.2  Full Analysis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Step 1</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File uploaded via POST /api/upload — stored temporarily in the uploads directory</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Step 2</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Parser auto-detects file format and converts to normalised event list</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Step 3</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Rule engine runs all 10 detection rules against the event list in parallel</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Step 4</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Rule results are compiled: anomaly count, matched MITRE techniques, initial risk estimate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Step 5</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If API key is available: GPT-4 call with log content + rule findings for synthesis</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Step 6</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If API key is unavailable or fails: fallback rule-based summary generation</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Step 7</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Combined result stored in SQLite database under AnalysisResult model</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Step 8</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Frontend receives JSON response and renders Overview, Anomalies, MITRE, Timeline tabs</w:t>
            </w:r>
          </w:p>
        </w:tc>
      </w:tr>
    </w:tbl>
    <w:p>
      <w:pPr>
        <w:spacing w:before="100" w:after="0"/>
      </w:pPr>
    </w:p>
    <w:p>
      <w:pPr>
        <w:pStyle w:val="Heading2"/>
        <w:spacing w:before="280" w:after="80"/>
      </w:pPr>
      <w:r>
        <w:rPr>
          <w:rFonts w:ascii="Arial" w:cs="Arial" w:eastAsia="Arial" w:hAnsi="Arial"/>
          <w:b/>
          <w:bCs/>
          <w:color w:val="0D9488"/>
          <w:sz w:val="24"/>
          <w:szCs w:val="24"/>
        </w:rPr>
        <w:t xml:space="preserve">5.3  What the User Sees</w:t>
      </w:r>
    </w:p>
    <w:p>
      <w:pPr>
        <w:spacing w:before="80" w:after="120" w:line="320"/>
      </w:pPr>
      <w:r>
        <w:rPr>
          <w:rFonts w:ascii="Arial" w:cs="Arial" w:eastAsia="Arial" w:hAnsi="Arial"/>
          <w:color w:val="2D3748"/>
          <w:sz w:val="22"/>
          <w:szCs w:val="22"/>
        </w:rPr>
        <w:t xml:space="preserve">The analysis output page shows five tabs. The AI contribution is most visible in the Overview tab, specifically in the Executive Summary and Additional Findings sections — these are the free-text outputs generated by GPT-4 (or the fallback engine). The Anomalies tab, the MITRE ATT&amp;CK tab, and the Timeline tab are driven primarily by the rule-based engine, which is why they remain fully functional even without AI.</w:t>
      </w:r>
    </w:p>
    <w:p>
      <w:pPr>
        <w:pBdr>
          <w:bottom w:val="single" w:color="14B8A6" w:sz="4" w:space="1"/>
        </w:pBdr>
        <w:spacing w:before="160" w:after="160"/>
      </w:pPr>
    </w:p>
    <w:p>
      <w:pPr>
        <w:pStyle w:val="Heading1"/>
        <w:spacing w:before="360" w:after="120"/>
      </w:pPr>
      <w:r>
        <w:rPr>
          <w:rFonts w:ascii="Arial" w:cs="Arial" w:eastAsia="Arial" w:hAnsi="Arial"/>
          <w:b/>
          <w:bCs/>
          <w:color w:val="1E293B"/>
          <w:sz w:val="28"/>
          <w:szCs w:val="28"/>
        </w:rPr>
        <w:t xml:space="preserve">6. Technology Stack for AI Integration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AI Model</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OpenAI GPT-4 (gpt-4 model series)</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API Client</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Python openai library — direct HTTPS calls to api.openai.com</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Authentication</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Bearer token via OPENAI_API_KEY environment variable in .env file</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Prompt Strategy</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Single-turn structured prompt with JSON schema enforcement</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Fallback Engine</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Python-only rule-based generator — zero external dependencies</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Backend Language</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Python 3 with a custom Flask-compatible shim (no pip required)</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Database</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SQLite3 — analysis results persisted in securelensai.db</w:t>
            </w:r>
          </w:p>
        </w:tc>
      </w:tr>
      <w:tr>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Frontend</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374151"/>
                <w:sz w:val="21"/>
                <w:szCs w:val="21"/>
              </w:rPr>
              <w:t xml:space="preserve">Vanilla HTML, CSS, JavaScript — results rendered from REST API response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1"/>
                <w:szCs w:val="21"/>
              </w:rPr>
              <w:t xml:space="preserve">Environment Mgmt</w:t>
            </w:r>
          </w:p>
        </w:tc>
        <w:tc>
          <w:tcPr>
            <w:tcW w:type="dxa" w:w="6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374151"/>
                <w:sz w:val="21"/>
                <w:szCs w:val="21"/>
              </w:rPr>
              <w:t xml:space="preserve">.env file loaded at startup via python-dotenv (optional dependency)</w:t>
            </w:r>
          </w:p>
        </w:tc>
      </w:tr>
    </w:tbl>
    <w:p>
      <w:pPr>
        <w:spacing w:before="140" w:after="0"/>
      </w:pPr>
    </w:p>
    <w:p>
      <w:pPr>
        <w:pBdr>
          <w:bottom w:val="single" w:color="14B8A6" w:sz="4" w:space="1"/>
        </w:pBdr>
        <w:spacing w:before="160" w:after="160"/>
      </w:pPr>
    </w:p>
    <w:p>
      <w:pPr>
        <w:pStyle w:val="Heading1"/>
        <w:spacing w:before="360" w:after="120"/>
      </w:pPr>
      <w:r>
        <w:rPr>
          <w:rFonts w:ascii="Arial" w:cs="Arial" w:eastAsia="Arial" w:hAnsi="Arial"/>
          <w:b/>
          <w:bCs/>
          <w:color w:val="1E293B"/>
          <w:sz w:val="28"/>
          <w:szCs w:val="28"/>
        </w:rPr>
        <w:t xml:space="preserve">7. Known Limitations and Honest Notes</w:t>
      </w:r>
    </w:p>
    <w:p>
      <w:pPr>
        <w:spacing w:before="80" w:after="120" w:line="320"/>
      </w:pPr>
      <w:r>
        <w:rPr>
          <w:rFonts w:ascii="Arial" w:cs="Arial" w:eastAsia="Arial" w:hAnsi="Arial"/>
          <w:color w:val="2D3748"/>
          <w:sz w:val="22"/>
          <w:szCs w:val="22"/>
        </w:rPr>
        <w:t xml:space="preserve">I think it is worth being upfront about a few things rather than overselling what the AI integration does and does not do.</w:t>
      </w:r>
    </w:p>
    <w:p>
      <w:pPr>
        <w:pStyle w:val="ListParagraph"/>
        <w:numPr>
          <w:ilvl w:val="0"/>
          <w:numId w:val="2"/>
        </w:numPr>
        <w:spacing w:before="60" w:after="60" w:line="300"/>
      </w:pPr>
      <w:r>
        <w:rPr>
          <w:rFonts w:ascii="Arial" w:cs="Arial" w:eastAsia="Arial" w:hAnsi="Arial"/>
          <w:b/>
          <w:bCs/>
          <w:color w:val="1E293B"/>
          <w:sz w:val="22"/>
          <w:szCs w:val="22"/>
        </w:rPr>
        <w:t xml:space="preserve">Every AI analysis call costs OpenAI credits. For large log files this can be non-trivial. In a production deployment, some form of log summarisation or chunking before the API call would be needed to keep costs manageable.</w:t>
      </w:r>
      <w:r>
        <w:rPr>
          <w:rFonts w:ascii="Arial" w:cs="Arial" w:eastAsia="Arial" w:hAnsi="Arial"/>
          <w:color w:val="2D3748"/>
          <w:sz w:val="22"/>
          <w:szCs w:val="22"/>
        </w:rPr>
        <w:t xml:space="preserve">Token cost: </w:t>
      </w:r>
    </w:p>
    <w:p>
      <w:pPr>
        <w:pStyle w:val="ListParagraph"/>
        <w:numPr>
          <w:ilvl w:val="0"/>
          <w:numId w:val="2"/>
        </w:numPr>
        <w:spacing w:before="60" w:after="60" w:line="300"/>
      </w:pPr>
      <w:r>
        <w:rPr>
          <w:rFonts w:ascii="Arial" w:cs="Arial" w:eastAsia="Arial" w:hAnsi="Arial"/>
          <w:b/>
          <w:bCs/>
          <w:color w:val="1E293B"/>
          <w:sz w:val="22"/>
          <w:szCs w:val="22"/>
        </w:rPr>
        <w:t xml:space="preserve">Like all large language models, GPT-4 can occasionally produce findings that are not grounded in the actual log content. The rule-based layer partially mitigates this by providing factual grounding, but the AI output should be treated as advisory rather than definitive.</w:t>
      </w:r>
      <w:r>
        <w:rPr>
          <w:rFonts w:ascii="Arial" w:cs="Arial" w:eastAsia="Arial" w:hAnsi="Arial"/>
          <w:color w:val="2D3748"/>
          <w:sz w:val="22"/>
          <w:szCs w:val="22"/>
        </w:rPr>
        <w:t xml:space="preserve">Hallucination risk: </w:t>
      </w:r>
    </w:p>
    <w:p>
      <w:pPr>
        <w:pStyle w:val="ListParagraph"/>
        <w:numPr>
          <w:ilvl w:val="0"/>
          <w:numId w:val="2"/>
        </w:numPr>
        <w:spacing w:before="60" w:after="60" w:line="300"/>
      </w:pPr>
      <w:r>
        <w:rPr>
          <w:rFonts w:ascii="Arial" w:cs="Arial" w:eastAsia="Arial" w:hAnsi="Arial"/>
          <w:b/>
          <w:bCs/>
          <w:color w:val="1E293B"/>
          <w:sz w:val="22"/>
          <w:szCs w:val="22"/>
        </w:rPr>
        <w:t xml:space="preserve">GPT-4 is used off-the-shelf with a well-crafted prompt. A production security product would benefit from fine-tuning on labelled security log datasets to improve precision and reduce false positives, but that was outside the scope of this project.</w:t>
      </w:r>
      <w:r>
        <w:rPr>
          <w:rFonts w:ascii="Arial" w:cs="Arial" w:eastAsia="Arial" w:hAnsi="Arial"/>
          <w:color w:val="2D3748"/>
          <w:sz w:val="22"/>
          <w:szCs w:val="22"/>
        </w:rPr>
        <w:t xml:space="preserve">No fine-tuning: </w:t>
      </w:r>
    </w:p>
    <w:p>
      <w:pPr>
        <w:pStyle w:val="ListParagraph"/>
        <w:numPr>
          <w:ilvl w:val="0"/>
          <w:numId w:val="2"/>
        </w:numPr>
        <w:spacing w:before="60" w:after="60" w:line="300"/>
      </w:pPr>
      <w:r>
        <w:rPr>
          <w:rFonts w:ascii="Arial" w:cs="Arial" w:eastAsia="Arial" w:hAnsi="Arial"/>
          <w:b/>
          <w:bCs/>
          <w:color w:val="1E293B"/>
          <w:sz w:val="22"/>
          <w:szCs w:val="22"/>
        </w:rPr>
        <w:t xml:space="preserve">Log files uploaded for analysis are sent to the OpenAI API. In a real enterprise deployment, this would require careful consideration of data residency and compliance requirements. For this assignment, this is acknowledged as a known limitation.</w:t>
      </w:r>
      <w:r>
        <w:rPr>
          <w:rFonts w:ascii="Arial" w:cs="Arial" w:eastAsia="Arial" w:hAnsi="Arial"/>
          <w:color w:val="2D3748"/>
          <w:sz w:val="22"/>
          <w:szCs w:val="22"/>
        </w:rPr>
        <w:t xml:space="preserve">Privacy: </w:t>
      </w:r>
    </w:p>
    <w:p>
      <w:pPr>
        <w:pBdr>
          <w:bottom w:val="single" w:color="14B8A6" w:sz="4" w:space="1"/>
        </w:pBdr>
        <w:spacing w:before="160" w:after="160"/>
      </w:pPr>
    </w:p>
    <w:p>
      <w:pPr>
        <w:pStyle w:val="Heading1"/>
        <w:spacing w:before="360" w:after="120"/>
      </w:pPr>
      <w:r>
        <w:rPr>
          <w:rFonts w:ascii="Arial" w:cs="Arial" w:eastAsia="Arial" w:hAnsi="Arial"/>
          <w:b/>
          <w:bCs/>
          <w:color w:val="1E293B"/>
          <w:sz w:val="28"/>
          <w:szCs w:val="28"/>
        </w:rPr>
        <w:t xml:space="preserve">8. Summary</w:t>
      </w:r>
    </w:p>
    <w:p>
      <w:pPr>
        <w:spacing w:before="80" w:after="120" w:line="320"/>
      </w:pPr>
      <w:r>
        <w:rPr>
          <w:rFonts w:ascii="Arial" w:cs="Arial" w:eastAsia="Arial" w:hAnsi="Arial"/>
          <w:color w:val="2D3748"/>
          <w:sz w:val="22"/>
          <w:szCs w:val="22"/>
        </w:rPr>
        <w:t xml:space="preserve">To summarise where and how AI is used in Secure Lens AI:</w:t>
      </w:r>
    </w:p>
    <w:p>
      <w:pPr>
        <w:pStyle w:val="ListParagraph"/>
        <w:numPr>
          <w:ilvl w:val="0"/>
          <w:numId w:val="2"/>
        </w:numPr>
        <w:spacing w:before="60" w:after="60" w:line="300"/>
      </w:pPr>
      <w:r>
        <w:rPr>
          <w:rFonts w:ascii="Arial" w:cs="Arial" w:eastAsia="Arial" w:hAnsi="Arial"/>
          <w:color w:val="2D3748"/>
          <w:sz w:val="22"/>
          <w:szCs w:val="22"/>
        </w:rPr>
        <w:t xml:space="preserve">AI is used in one specific function: the log analysis engine (ai_analyzer.py)</w:t>
      </w:r>
    </w:p>
    <w:p>
      <w:pPr>
        <w:pStyle w:val="ListParagraph"/>
        <w:numPr>
          <w:ilvl w:val="0"/>
          <w:numId w:val="2"/>
        </w:numPr>
        <w:spacing w:before="60" w:after="60" w:line="300"/>
      </w:pPr>
      <w:r>
        <w:rPr>
          <w:rFonts w:ascii="Arial" w:cs="Arial" w:eastAsia="Arial" w:hAnsi="Arial"/>
          <w:color w:val="2D3748"/>
          <w:sz w:val="22"/>
          <w:szCs w:val="22"/>
        </w:rPr>
        <w:t xml:space="preserve">The AI model is OpenAI GPT-4, called via the OpenAI Python API</w:t>
      </w:r>
    </w:p>
    <w:p>
      <w:pPr>
        <w:pStyle w:val="ListParagraph"/>
        <w:numPr>
          <w:ilvl w:val="0"/>
          <w:numId w:val="2"/>
        </w:numPr>
        <w:spacing w:before="60" w:after="60" w:line="300"/>
      </w:pPr>
      <w:r>
        <w:rPr>
          <w:rFonts w:ascii="Arial" w:cs="Arial" w:eastAsia="Arial" w:hAnsi="Arial"/>
          <w:color w:val="2D3748"/>
          <w:sz w:val="22"/>
          <w:szCs w:val="22"/>
        </w:rPr>
        <w:t xml:space="preserve">AI is used to synthesise rule-based findings into a coherent security report</w:t>
      </w:r>
    </w:p>
    <w:p>
      <w:pPr>
        <w:pStyle w:val="ListParagraph"/>
        <w:numPr>
          <w:ilvl w:val="0"/>
          <w:numId w:val="2"/>
        </w:numPr>
        <w:spacing w:before="60" w:after="60" w:line="300"/>
      </w:pPr>
      <w:r>
        <w:rPr>
          <w:rFonts w:ascii="Arial" w:cs="Arial" w:eastAsia="Arial" w:hAnsi="Arial"/>
          <w:color w:val="2D3748"/>
          <w:sz w:val="22"/>
          <w:szCs w:val="22"/>
        </w:rPr>
        <w:t xml:space="preserve">A full fallback to rule-based analysis exists for when AI is unavailable</w:t>
      </w:r>
    </w:p>
    <w:p>
      <w:pPr>
        <w:pStyle w:val="ListParagraph"/>
        <w:numPr>
          <w:ilvl w:val="0"/>
          <w:numId w:val="2"/>
        </w:numPr>
        <w:spacing w:before="60" w:after="60" w:line="300"/>
      </w:pPr>
      <w:r>
        <w:rPr>
          <w:rFonts w:ascii="Arial" w:cs="Arial" w:eastAsia="Arial" w:hAnsi="Arial"/>
          <w:color w:val="2D3748"/>
          <w:sz w:val="22"/>
          <w:szCs w:val="22"/>
        </w:rPr>
        <w:t xml:space="preserve">The hybrid design means the app works — and produces useful output — with or without AI</w:t>
      </w:r>
    </w:p>
    <w:p>
      <w:pPr>
        <w:pStyle w:val="ListParagraph"/>
        <w:numPr>
          <w:ilvl w:val="0"/>
          <w:numId w:val="2"/>
        </w:numPr>
        <w:spacing w:before="60" w:after="60" w:line="300"/>
      </w:pPr>
      <w:r>
        <w:rPr>
          <w:rFonts w:ascii="Arial" w:cs="Arial" w:eastAsia="Arial" w:hAnsi="Arial"/>
          <w:color w:val="2D3748"/>
          <w:sz w:val="22"/>
          <w:szCs w:val="22"/>
        </w:rPr>
        <w:t xml:space="preserve">The front end clearly labels whether a given analysis was AI-powered or rule-based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D9488" w:sz="12"/>
              <w:bottom w:val="single" w:color="CBD5E1" w:sz="1"/>
              <w:right w:val="single" w:color="CBD5E1" w:sz="1"/>
            </w:tcBorders>
            <w:shd w:fill="F0FDFA" w:val="clear"/>
            <w:tcMar>
              <w:top w:type="dxa" w:w="120"/>
              <w:left w:type="dxa" w:w="200"/>
              <w:bottom w:type="dxa" w:w="120"/>
              <w:right w:type="dxa" w:w="200"/>
            </w:tcMar>
          </w:tcPr>
          <w:p>
            <w:pPr>
              <w:spacing w:line="300"/>
            </w:pPr>
            <w:r>
              <w:rPr>
                <w:rFonts w:ascii="Arial" w:cs="Arial" w:eastAsia="Arial" w:hAnsi="Arial"/>
                <w:i/>
                <w:iCs/>
                <w:color w:val="134E4A"/>
                <w:sz w:val="21"/>
                <w:szCs w:val="21"/>
              </w:rPr>
              <w:t xml:space="preserve">The goal was never to use AI for AI's sake. The goal was to build something that a security analyst would actually find useful — and the hybrid approach, with its transparent fallback and clear labelling, reflects that intention.</w:t>
            </w:r>
          </w:p>
        </w:tc>
      </w:tr>
    </w:tbl>
    <w:p>
      <w:pPr>
        <w:spacing w:before="200" w:after="0"/>
      </w:pPr>
    </w:p>
    <w:p>
      <w:pPr>
        <w:spacing w:before="200"/>
        <w:jc w:val="right"/>
      </w:pPr>
      <w:r>
        <w:rPr>
          <w:rFonts w:ascii="Arial" w:cs="Arial" w:eastAsia="Arial" w:hAnsi="Arial"/>
          <w:i/>
          <w:iCs/>
          <w:color w:val="64748B"/>
          <w:sz w:val="20"/>
          <w:szCs w:val="20"/>
        </w:rPr>
        <w:t xml:space="preserve">— Roshan Manglani,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jc w:val="right"/>
    </w:pPr>
    <w:r>
      <w:rPr>
        <w:rFonts w:ascii="Arial" w:cs="Arial" w:eastAsia="Arial" w:hAnsi="Arial"/>
        <w:color w:val="64748B"/>
        <w:sz w:val="18"/>
        <w:szCs w:val="18"/>
      </w:rPr>
      <w:t xml:space="preserve">Secure Lens AI  |  AI Usage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293B"/>
      <w:sz w:val="28"/>
      <w:szCs w:val="28"/>
    </w:rPr>
  </w:style>
  <w:style w:type="paragraph" w:styleId="Heading2">
    <w:name w:val="Heading 2"/>
    <w:basedOn w:val="Normal"/>
    <w:next w:val="Normal"/>
    <w:qFormat/>
    <w:pPr>
      <w:spacing w:before="280" w:after="80"/>
      <w:outlineLvl w:val="1"/>
    </w:pPr>
    <w:rPr>
      <w:rFonts w:ascii="Arial" w:cs="Arial" w:eastAsia="Arial" w:hAnsi="Arial"/>
      <w:b/>
      <w:bCs/>
      <w:color w:val="0D9488"/>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2026-03-15T05:25:50.234Z</dcterms:created>
  <dcterms:modified xsi:type="dcterms:W3CDTF">2026-03-15T05:25:50.235Z</dcterms:modified>
</cp:coreProperties>
</file>

<file path=docProps/custom.xml><?xml version="1.0" encoding="utf-8"?>
<Properties xmlns="http://schemas.openxmlformats.org/officeDocument/2006/custom-properties" xmlns:vt="http://schemas.openxmlformats.org/officeDocument/2006/docPropsVTypes"/>
</file>