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488"/>
          <w:sz w:val="32"/>
        </w:rPr>
        <w:t>Aditya Silver Oak Institute of Technology</w:t>
      </w:r>
    </w:p>
    <w:p>
      <w:pPr>
        <w:jc w:val="center"/>
      </w:pPr>
      <w:r>
        <w:rPr>
          <w:b/>
          <w:sz w:val="26"/>
        </w:rPr>
        <w:t>Department of Computer Engineering</w:t>
      </w:r>
    </w:p>
    <w:p/>
    <w:p>
      <w:pPr>
        <w:jc w:val="center"/>
      </w:pPr>
      <w:r>
        <w:rPr>
          <w:sz w:val="24"/>
        </w:rPr>
        <w:t>A Report on</w:t>
      </w:r>
    </w:p>
    <w:p>
      <w:pPr>
        <w:jc w:val="center"/>
      </w:pPr>
      <w:r>
        <w:rPr>
          <w:b/>
          <w:color w:val="1A568C"/>
          <w:sz w:val="36"/>
        </w:rPr>
        <w:t>MediSathi AI: Smart Medication Scheduling &amp; Tracking Platform</w:t>
      </w:r>
    </w:p>
    <w:p>
      <w:pPr>
        <w:jc w:val="center"/>
      </w:pPr>
      <w:r>
        <w:rPr>
          <w:i/>
          <w:sz w:val="24"/>
        </w:rPr>
        <w:t>Under Subject of Innovation and Design Thinking - I (CEM2033C)</w:t>
      </w:r>
    </w:p>
    <w:p>
      <w:pPr>
        <w:jc w:val="center"/>
      </w:pPr>
      <w:r>
        <w:rPr>
          <w:sz w:val="24"/>
        </w:rPr>
        <w:t>Semester - III</w:t>
      </w:r>
    </w:p>
    <w:p/>
    <w:p/>
    <w:p>
      <w:pPr>
        <w:jc w:val="center"/>
      </w:pPr>
      <w:r>
        <w:rPr>
          <w:b/>
          <w:sz w:val="24"/>
        </w:rPr>
        <w:t>Submitted by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568C"/>
          </w:tcPr>
          <w:p>
            <w:pPr>
              <w:jc w:val="center"/>
            </w:pPr>
            <w:r>
              <w:rPr>
                <w:b/>
                <w:color w:val="FFFFFF"/>
                <w:sz w:val="22"/>
              </w:rPr>
              <w:t>Name of Candidate</w:t>
            </w:r>
          </w:p>
        </w:tc>
        <w:tc>
          <w:tcPr>
            <w:tcW w:type="dxa" w:w="4561"/>
            <w:shd w:val="clear" w:color="auto" w:fill="1A568C"/>
          </w:tcPr>
          <w:p>
            <w:pPr>
              <w:jc w:val="center"/>
            </w:pPr>
            <w:r>
              <w:rPr>
                <w:b/>
                <w:color w:val="FFFFFF"/>
                <w:sz w:val="22"/>
              </w:rPr>
              <w:t>Enrollment No.</w:t>
            </w:r>
          </w:p>
        </w:tc>
      </w:tr>
      <w:tr>
        <w:tc>
          <w:tcPr>
            <w:tcW w:type="dxa" w:w="4561"/>
          </w:tcPr>
          <w:p>
            <w:pPr>
              <w:jc w:val="center"/>
            </w:pPr>
            <w:r>
              <w:rPr>
                <w:sz w:val="20"/>
              </w:rPr>
              <w:t>PARMAR PARTH PRUTHVIRAJSINH</w:t>
            </w:r>
          </w:p>
        </w:tc>
        <w:tc>
          <w:tcPr>
            <w:tcW w:type="dxa" w:w="4561"/>
          </w:tcPr>
          <w:p>
            <w:pPr>
              <w:jc w:val="center"/>
            </w:pPr>
            <w:r>
              <w:rPr>
                <w:sz w:val="20"/>
              </w:rPr>
              <w:t>2502031800026</w:t>
            </w:r>
          </w:p>
        </w:tc>
      </w:tr>
      <w:tr>
        <w:tc>
          <w:tcPr>
            <w:tcW w:type="dxa" w:w="4561"/>
          </w:tcPr>
          <w:p>
            <w:pPr>
              <w:jc w:val="center"/>
            </w:pPr>
            <w:r>
              <w:rPr>
                <w:sz w:val="20"/>
              </w:rPr>
              <w:t>ROSHAN BHAI MODIYA</w:t>
            </w:r>
          </w:p>
        </w:tc>
        <w:tc>
          <w:tcPr>
            <w:tcW w:type="dxa" w:w="4561"/>
          </w:tcPr>
          <w:p>
            <w:pPr>
              <w:jc w:val="center"/>
            </w:pPr>
            <w:r>
              <w:rPr>
                <w:sz w:val="20"/>
              </w:rPr>
              <w:t>2502031800031</w:t>
            </w:r>
          </w:p>
        </w:tc>
      </w:tr>
      <w:tr>
        <w:tc>
          <w:tcPr>
            <w:tcW w:type="dxa" w:w="4561"/>
          </w:tcPr>
          <w:p>
            <w:pPr>
              <w:jc w:val="center"/>
            </w:pPr>
            <w:r>
              <w:rPr>
                <w:sz w:val="20"/>
              </w:rPr>
              <w:t>QUADRI MOHMMAD UVAISH ANISH AHEMAD</w:t>
            </w:r>
          </w:p>
        </w:tc>
        <w:tc>
          <w:tcPr>
            <w:tcW w:type="dxa" w:w="4561"/>
          </w:tcPr>
          <w:p>
            <w:pPr>
              <w:jc w:val="center"/>
            </w:pPr>
            <w:r>
              <w:rPr>
                <w:sz w:val="20"/>
              </w:rPr>
              <w:t>2502031800022</w:t>
            </w:r>
          </w:p>
        </w:tc>
      </w:tr>
      <w:tr>
        <w:tc>
          <w:tcPr>
            <w:tcW w:type="dxa" w:w="4561"/>
          </w:tcPr>
          <w:p>
            <w:pPr>
              <w:jc w:val="center"/>
            </w:pPr>
            <w:r>
              <w:rPr>
                <w:sz w:val="20"/>
              </w:rPr>
              <w:t>BORSE CHARUL BHAGWAT</w:t>
            </w:r>
          </w:p>
        </w:tc>
        <w:tc>
          <w:tcPr>
            <w:tcW w:type="dxa" w:w="4561"/>
          </w:tcPr>
          <w:p>
            <w:pPr>
              <w:jc w:val="center"/>
            </w:pPr>
            <w:r>
              <w:rPr>
                <w:sz w:val="20"/>
              </w:rPr>
              <w:t>2502031800009</w:t>
            </w:r>
          </w:p>
        </w:tc>
      </w:tr>
      <w:tr>
        <w:tc>
          <w:tcPr>
            <w:tcW w:type="dxa" w:w="4561"/>
          </w:tcPr>
          <w:p>
            <w:pPr>
              <w:jc w:val="center"/>
            </w:pPr>
            <w:r>
              <w:rPr>
                <w:sz w:val="20"/>
              </w:rPr>
              <w:t>PANCHAL VAIDEHIBEN MANUBHAI</w:t>
            </w:r>
          </w:p>
        </w:tc>
        <w:tc>
          <w:tcPr>
            <w:tcW w:type="dxa" w:w="4561"/>
          </w:tcPr>
          <w:p>
            <w:pPr>
              <w:jc w:val="center"/>
            </w:pPr>
            <w:r>
              <w:rPr>
                <w:sz w:val="20"/>
              </w:rPr>
              <w:t>T2602180330018</w:t>
            </w:r>
          </w:p>
        </w:tc>
      </w:tr>
    </w:tbl>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b/>
                <w:sz w:val="22"/>
              </w:rPr>
              <w:t>Internal Guide</w:t>
              <w:br/>
              <w:t>Prof. Kruti Sheth</w:t>
            </w:r>
          </w:p>
        </w:tc>
        <w:tc>
          <w:tcPr>
            <w:tcW w:type="dxa" w:w="4561"/>
          </w:tcPr>
          <w:p>
            <w:pPr>
              <w:jc w:val="center"/>
            </w:pPr>
            <w:r>
              <w:rPr>
                <w:b/>
                <w:sz w:val="22"/>
              </w:rPr>
              <w:t>Head of Department</w:t>
              <w:br/>
              <w:t>Dr. Vikas Tulshyan</w:t>
            </w:r>
          </w:p>
        </w:tc>
      </w:tr>
    </w:tbl>
    <w:p>
      <w:r>
        <w:br w:type="page"/>
      </w:r>
    </w:p>
    <w:p>
      <w:pPr>
        <w:pStyle w:val="Heading1"/>
        <w:spacing w:before="280" w:after="80"/>
      </w:pPr>
      <w:r>
        <w:rPr>
          <w:color w:val="1A568C"/>
        </w:rPr>
        <w:t>ACKNOWLEDGEMENT</w:t>
      </w:r>
    </w:p>
    <w:p>
      <w:pPr>
        <w:spacing w:after="120"/>
      </w:pPr>
      <w:r>
        <w:rPr>
          <w:b w:val="0"/>
          <w:i w:val="0"/>
          <w:sz w:val="22"/>
        </w:rPr>
        <w:t>We are heartily thankful to our supervisor, Prof. Kruti Sheth, whose encouragement, supervision and support from the preliminary to the concluding level enabled us to develop an understanding of the subject and successfully complete this Innovation and Design Thinking project — MediSathi AI: Smart Medication Scheduling &amp; Tracking Platform.</w:t>
      </w:r>
    </w:p>
    <w:p>
      <w:pPr>
        <w:spacing w:after="120"/>
      </w:pPr>
      <w:r>
        <w:rPr>
          <w:b w:val="0"/>
          <w:i w:val="0"/>
          <w:sz w:val="22"/>
        </w:rPr>
        <w:t>We would like to extend our deepest gratitude to Dr. Vikas Tulshyan, Head of the Computer Engineering Department, Aditya Silver Oak Institute of Technology, Ahmedabad, for his continuous encouragement, motivation, and for providing us with the necessary academic infrastructure and resources.</w:t>
      </w:r>
    </w:p>
    <w:p>
      <w:pPr>
        <w:spacing w:after="120"/>
      </w:pPr>
      <w:r>
        <w:rPr>
          <w:b w:val="0"/>
          <w:i w:val="0"/>
          <w:sz w:val="22"/>
        </w:rPr>
        <w:t>We are also thankful to our institution for providing the tools, materials, and collaborative environment that made this work possible. This project would not have been feasible without the collective effort and dedication of every team member.</w:t>
      </w:r>
    </w:p>
    <w:p>
      <w:pPr>
        <w:spacing w:after="120"/>
      </w:pPr>
      <w:r>
        <w:rPr>
          <w:b w:val="0"/>
          <w:i w:val="0"/>
          <w:sz w:val="22"/>
        </w:rPr>
        <w:t>Last but not the least, we are greatly indebted to each and every individual who supported us in any respect during the completion of this project, even if their name does not find a place in this acknowledgement.</w:t>
      </w:r>
    </w:p>
    <w:p/>
    <w:p>
      <w:pPr>
        <w:spacing w:after="120"/>
      </w:pPr>
      <w:r>
        <w:rPr>
          <w:b/>
          <w:i w:val="0"/>
          <w:sz w:val="22"/>
        </w:rPr>
        <w:t>Yours Sincerely,</w:t>
      </w:r>
    </w:p>
    <w:p>
      <w:pPr>
        <w:spacing w:after="120"/>
      </w:pPr>
      <w:r>
        <w:rPr>
          <w:b w:val="0"/>
          <w:i w:val="0"/>
          <w:sz w:val="22"/>
        </w:rPr>
        <w:t>PARMAR PARTH PRUTHVIRAJSINH (2502031800026)</w:t>
      </w:r>
    </w:p>
    <w:p>
      <w:pPr>
        <w:spacing w:after="120"/>
      </w:pPr>
      <w:r>
        <w:rPr>
          <w:b w:val="0"/>
          <w:i w:val="0"/>
          <w:sz w:val="22"/>
        </w:rPr>
        <w:t>ROSHAN BHAI MODIYA (2502031800031)</w:t>
      </w:r>
    </w:p>
    <w:p>
      <w:pPr>
        <w:spacing w:after="120"/>
      </w:pPr>
      <w:r>
        <w:rPr>
          <w:b w:val="0"/>
          <w:i w:val="0"/>
          <w:sz w:val="22"/>
        </w:rPr>
        <w:t>QUADRI MOHMMAD UVAISH ANISH AHEMAD (2502031800022)</w:t>
      </w:r>
    </w:p>
    <w:p>
      <w:pPr>
        <w:spacing w:after="120"/>
      </w:pPr>
      <w:r>
        <w:rPr>
          <w:b w:val="0"/>
          <w:i w:val="0"/>
          <w:sz w:val="22"/>
        </w:rPr>
        <w:t>BORSE CHARUL BHAGWAT (2502031800009)</w:t>
      </w:r>
    </w:p>
    <w:p>
      <w:pPr>
        <w:spacing w:after="120"/>
      </w:pPr>
      <w:r>
        <w:rPr>
          <w:b w:val="0"/>
          <w:i w:val="0"/>
          <w:sz w:val="22"/>
        </w:rPr>
        <w:t>PANCHAL VAIDEHIBEN MANUBHAI (T2602180330018)</w:t>
      </w:r>
    </w:p>
    <w:p>
      <w:r>
        <w:br w:type="page"/>
      </w:r>
    </w:p>
    <w:p>
      <w:pPr>
        <w:pStyle w:val="Heading1"/>
        <w:spacing w:before="280" w:after="80"/>
      </w:pPr>
      <w:r>
        <w:rPr>
          <w:color w:val="1A568C"/>
        </w:rPr>
        <w:t>ABSTRACT</w:t>
      </w:r>
    </w:p>
    <w:p>
      <w:pPr>
        <w:spacing w:after="120"/>
      </w:pPr>
      <w:r>
        <w:rPr>
          <w:b w:val="0"/>
          <w:i w:val="0"/>
          <w:sz w:val="22"/>
        </w:rPr>
        <w:t>MediSathi AI is an intelligent, software-first AI healthcare companion designed to address one of India's most underserved healthcare challenges: medication non-adherence among elderly patients, chronic-illness sufferers, and their caregivers. Existing solutions — paper prescriptions, generic alarm reminders, and expensive hardware dispensers — are inaccessible or ineffective for the rapidly growing 60+ population that manages two or more long-term prescriptions independently.</w:t>
      </w:r>
    </w:p>
    <w:p>
      <w:pPr>
        <w:spacing w:after="120"/>
      </w:pPr>
      <w:r>
        <w:rPr>
          <w:b w:val="0"/>
          <w:i w:val="0"/>
          <w:sz w:val="22"/>
        </w:rPr>
        <w:t>The system integrates four core AI-driven features: (1) an Intelligent OCR &amp; Prescription Parsing Engine powered by Google Gemini multimodal API that converts handwritten or printed prescriptions into structured medication schedules; (2) Dynamic Regional Voice Scheduling that delivers spoken reminders in Hindi, Gujarati, and English with meal-context awareness; (3) Supply Tracking with automated Second Medication Phase alerts before stock exhaustion; and (4) a Visual Pill Scanner that identifies unlabelled pills using AI camera recognition.</w:t>
      </w:r>
    </w:p>
    <w:p>
      <w:pPr>
        <w:spacing w:after="120"/>
      </w:pPr>
      <w:r>
        <w:rPr>
          <w:b w:val="0"/>
          <w:i w:val="0"/>
          <w:sz w:val="22"/>
        </w:rPr>
        <w:t>Built on a React + Vite + TypeScript frontend and a Python FastAPI backend with Google Gemini integration, MediSathi AI is deployable as a mobile-first Progressive Web App. The solution directly maps to UN SDG Goal 3 (Good Health &amp; Well-Being) and SDG Goal 10 (Reduced Inequalities), targeting improved medication adherence and reduced preventable hospital readmissions at scale across Indian healthcare.</w:t>
      </w:r>
    </w:p>
    <w:p>
      <w:r>
        <w:br w:type="page"/>
      </w:r>
    </w:p>
    <w:p>
      <w:pPr>
        <w:pStyle w:val="Heading1"/>
        <w:spacing w:before="280" w:after="80"/>
      </w:pPr>
      <w:r>
        <w:rPr>
          <w:color w:val="1A568C"/>
        </w:rPr>
        <w:t>LIST OF FIGURES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568C"/>
          </w:tcPr>
          <w:p>
            <w:r>
              <w:rPr>
                <w:b/>
                <w:color w:val="FFFFFF"/>
                <w:sz w:val="20"/>
              </w:rPr>
              <w:t>Figure No.</w:t>
            </w:r>
          </w:p>
        </w:tc>
        <w:tc>
          <w:tcPr>
            <w:tcW w:type="dxa" w:w="3041"/>
            <w:shd w:val="clear" w:color="auto" w:fill="1A568C"/>
          </w:tcPr>
          <w:p>
            <w:r>
              <w:rPr>
                <w:b/>
                <w:color w:val="FFFFFF"/>
                <w:sz w:val="20"/>
              </w:rPr>
              <w:t>Figure Name</w:t>
            </w:r>
          </w:p>
        </w:tc>
        <w:tc>
          <w:tcPr>
            <w:tcW w:type="dxa" w:w="3041"/>
            <w:shd w:val="clear" w:color="auto" w:fill="1A568C"/>
          </w:tcPr>
          <w:p>
            <w:r>
              <w:rPr>
                <w:b/>
                <w:color w:val="FFFFFF"/>
                <w:sz w:val="20"/>
              </w:rPr>
              <w:t>Page No.</w:t>
            </w:r>
          </w:p>
        </w:tc>
      </w:tr>
      <w:tr>
        <w:tc>
          <w:tcPr>
            <w:tcW w:type="dxa" w:w="3041"/>
          </w:tcPr>
          <w:p>
            <w:r>
              <w:rPr>
                <w:sz w:val="20"/>
              </w:rPr>
              <w:t>3.1</w:t>
            </w:r>
          </w:p>
        </w:tc>
        <w:tc>
          <w:tcPr>
            <w:tcW w:type="dxa" w:w="3041"/>
          </w:tcPr>
          <w:p>
            <w:r>
              <w:rPr>
                <w:sz w:val="20"/>
              </w:rPr>
              <w:t>MediSathi AI — Scan Rx Screen (Prescription OCR Upload)</w:t>
            </w:r>
          </w:p>
        </w:tc>
        <w:tc>
          <w:tcPr>
            <w:tcW w:type="dxa" w:w="3041"/>
          </w:tcPr>
          <w:p>
            <w:r>
              <w:rPr>
                <w:sz w:val="20"/>
              </w:rPr>
              <w:t>—</w:t>
            </w:r>
          </w:p>
        </w:tc>
      </w:tr>
      <w:tr>
        <w:tc>
          <w:tcPr>
            <w:tcW w:type="dxa" w:w="3041"/>
          </w:tcPr>
          <w:p>
            <w:r>
              <w:rPr>
                <w:sz w:val="20"/>
              </w:rPr>
              <w:t>3.2</w:t>
            </w:r>
          </w:p>
        </w:tc>
        <w:tc>
          <w:tcPr>
            <w:tcW w:type="dxa" w:w="3041"/>
          </w:tcPr>
          <w:p>
            <w:r>
              <w:rPr>
                <w:sz w:val="20"/>
              </w:rPr>
              <w:t>MediSathi AI — Medication Schedule Dashboard</w:t>
            </w:r>
          </w:p>
        </w:tc>
        <w:tc>
          <w:tcPr>
            <w:tcW w:type="dxa" w:w="3041"/>
          </w:tcPr>
          <w:p>
            <w:r>
              <w:rPr>
                <w:sz w:val="20"/>
              </w:rPr>
              <w:t>—</w:t>
            </w:r>
          </w:p>
        </w:tc>
      </w:tr>
      <w:tr>
        <w:tc>
          <w:tcPr>
            <w:tcW w:type="dxa" w:w="3041"/>
          </w:tcPr>
          <w:p>
            <w:r>
              <w:rPr>
                <w:sz w:val="20"/>
              </w:rPr>
              <w:t>3.3</w:t>
            </w:r>
          </w:p>
        </w:tc>
        <w:tc>
          <w:tcPr>
            <w:tcW w:type="dxa" w:w="3041"/>
          </w:tcPr>
          <w:p>
            <w:r>
              <w:rPr>
                <w:sz w:val="20"/>
              </w:rPr>
              <w:t>MediSathi AI — Supply Tracker &amp; Second Course Alert</w:t>
            </w:r>
          </w:p>
        </w:tc>
        <w:tc>
          <w:tcPr>
            <w:tcW w:type="dxa" w:w="3041"/>
          </w:tcPr>
          <w:p>
            <w:r>
              <w:rPr>
                <w:sz w:val="20"/>
              </w:rPr>
              <w:t>—</w:t>
            </w:r>
          </w:p>
        </w:tc>
      </w:tr>
      <w:tr>
        <w:tc>
          <w:tcPr>
            <w:tcW w:type="dxa" w:w="3041"/>
          </w:tcPr>
          <w:p>
            <w:r>
              <w:rPr>
                <w:sz w:val="20"/>
              </w:rPr>
              <w:t>3.4</w:t>
            </w:r>
          </w:p>
        </w:tc>
        <w:tc>
          <w:tcPr>
            <w:tcW w:type="dxa" w:w="3041"/>
          </w:tcPr>
          <w:p>
            <w:r>
              <w:rPr>
                <w:sz w:val="20"/>
              </w:rPr>
              <w:t>MediSathi AI — Visual Pill Scanner Screen</w:t>
            </w:r>
          </w:p>
        </w:tc>
        <w:tc>
          <w:tcPr>
            <w:tcW w:type="dxa" w:w="3041"/>
          </w:tcPr>
          <w:p>
            <w:r>
              <w:rPr>
                <w:sz w:val="20"/>
              </w:rPr>
              <w:t>—</w:t>
            </w:r>
          </w:p>
        </w:tc>
      </w:tr>
      <w:tr>
        <w:tc>
          <w:tcPr>
            <w:tcW w:type="dxa" w:w="3041"/>
          </w:tcPr>
          <w:p>
            <w:r>
              <w:rPr>
                <w:sz w:val="20"/>
              </w:rPr>
              <w:t>4.1</w:t>
            </w:r>
          </w:p>
        </w:tc>
        <w:tc>
          <w:tcPr>
            <w:tcW w:type="dxa" w:w="3041"/>
          </w:tcPr>
          <w:p>
            <w:r>
              <w:rPr>
                <w:sz w:val="20"/>
              </w:rPr>
              <w:t>MediSathi AI — Mind Mapping Canvas</w:t>
            </w:r>
          </w:p>
        </w:tc>
        <w:tc>
          <w:tcPr>
            <w:tcW w:type="dxa" w:w="3041"/>
          </w:tcPr>
          <w:p>
            <w:r>
              <w:rPr>
                <w:sz w:val="20"/>
              </w:rPr>
              <w:t>—</w:t>
            </w:r>
          </w:p>
        </w:tc>
      </w:tr>
      <w:tr>
        <w:tc>
          <w:tcPr>
            <w:tcW w:type="dxa" w:w="3041"/>
          </w:tcPr>
          <w:p>
            <w:r>
              <w:rPr>
                <w:sz w:val="20"/>
              </w:rPr>
              <w:t>5.1</w:t>
            </w:r>
          </w:p>
        </w:tc>
        <w:tc>
          <w:tcPr>
            <w:tcW w:type="dxa" w:w="3041"/>
          </w:tcPr>
          <w:p>
            <w:r>
              <w:rPr>
                <w:sz w:val="20"/>
              </w:rPr>
              <w:t>AEIOU Observation Framework Canvas</w:t>
            </w:r>
          </w:p>
        </w:tc>
        <w:tc>
          <w:tcPr>
            <w:tcW w:type="dxa" w:w="3041"/>
          </w:tcPr>
          <w:p>
            <w:r>
              <w:rPr>
                <w:sz w:val="20"/>
              </w:rPr>
              <w:t>—</w:t>
            </w:r>
          </w:p>
        </w:tc>
      </w:tr>
      <w:tr>
        <w:tc>
          <w:tcPr>
            <w:tcW w:type="dxa" w:w="3041"/>
          </w:tcPr>
          <w:p>
            <w:r>
              <w:rPr>
                <w:sz w:val="20"/>
              </w:rPr>
              <w:t>5.2</w:t>
            </w:r>
          </w:p>
        </w:tc>
        <w:tc>
          <w:tcPr>
            <w:tcW w:type="dxa" w:w="3041"/>
          </w:tcPr>
          <w:p>
            <w:r>
              <w:rPr>
                <w:sz w:val="20"/>
              </w:rPr>
              <w:t>Ideation Canvas — Four Core Pillars</w:t>
            </w:r>
          </w:p>
        </w:tc>
        <w:tc>
          <w:tcPr>
            <w:tcW w:type="dxa" w:w="3041"/>
          </w:tcPr>
          <w:p>
            <w:r>
              <w:rPr>
                <w:sz w:val="20"/>
              </w:rPr>
              <w:t>—</w:t>
            </w:r>
          </w:p>
        </w:tc>
      </w:tr>
      <w:tr>
        <w:tc>
          <w:tcPr>
            <w:tcW w:type="dxa" w:w="3041"/>
          </w:tcPr>
          <w:p>
            <w:r>
              <w:rPr>
                <w:sz w:val="20"/>
              </w:rPr>
              <w:t>5.3</w:t>
            </w:r>
          </w:p>
        </w:tc>
        <w:tc>
          <w:tcPr>
            <w:tcW w:type="dxa" w:w="3041"/>
          </w:tcPr>
          <w:p>
            <w:r>
              <w:rPr>
                <w:sz w:val="20"/>
              </w:rPr>
              <w:t>Empathy Map — Primary User Personas</w:t>
            </w:r>
          </w:p>
        </w:tc>
        <w:tc>
          <w:tcPr>
            <w:tcW w:type="dxa" w:w="3041"/>
          </w:tcPr>
          <w:p>
            <w:r>
              <w:rPr>
                <w:sz w:val="20"/>
              </w:rPr>
              <w:t>—</w:t>
            </w:r>
          </w:p>
        </w:tc>
      </w:tr>
      <w:tr>
        <w:tc>
          <w:tcPr>
            <w:tcW w:type="dxa" w:w="3041"/>
          </w:tcPr>
          <w:p>
            <w:r>
              <w:rPr>
                <w:sz w:val="20"/>
              </w:rPr>
              <w:t>5.4</w:t>
            </w:r>
          </w:p>
        </w:tc>
        <w:tc>
          <w:tcPr>
            <w:tcW w:type="dxa" w:w="3041"/>
          </w:tcPr>
          <w:p>
            <w:r>
              <w:rPr>
                <w:sz w:val="20"/>
              </w:rPr>
              <w:t>Product Development Canvas</w:t>
            </w:r>
          </w:p>
        </w:tc>
        <w:tc>
          <w:tcPr>
            <w:tcW w:type="dxa" w:w="3041"/>
          </w:tcPr>
          <w:p>
            <w:r>
              <w:rPr>
                <w:sz w:val="20"/>
              </w:rPr>
              <w:t>—</w:t>
            </w:r>
          </w:p>
        </w:tc>
      </w:tr>
    </w:tbl>
    <w:p>
      <w:r>
        <w:br w:type="page"/>
      </w:r>
    </w:p>
    <w:p>
      <w:pPr>
        <w:pStyle w:val="Heading1"/>
        <w:spacing w:before="280" w:after="80"/>
      </w:pPr>
      <w:r>
        <w:rPr>
          <w:color w:val="1A568C"/>
        </w:rPr>
        <w:t>LIST OF TABLES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68C"/>
          </w:tcPr>
          <w:p>
            <w:r>
              <w:rPr>
                <w:b/>
                <w:color w:val="FFFFFF"/>
                <w:sz w:val="20"/>
              </w:rPr>
              <w:t>Table No.</w:t>
            </w:r>
          </w:p>
        </w:tc>
        <w:tc>
          <w:tcPr>
            <w:tcW w:type="dxa" w:w="3041"/>
            <w:shd w:val="clear" w:color="auto" w:fill="1A568C"/>
          </w:tcPr>
          <w:p>
            <w:r>
              <w:rPr>
                <w:b/>
                <w:color w:val="FFFFFF"/>
                <w:sz w:val="20"/>
              </w:rPr>
              <w:t>Table Name</w:t>
            </w:r>
          </w:p>
        </w:tc>
        <w:tc>
          <w:tcPr>
            <w:tcW w:type="dxa" w:w="3041"/>
            <w:shd w:val="clear" w:color="auto" w:fill="1A568C"/>
          </w:tcPr>
          <w:p>
            <w:r>
              <w:rPr>
                <w:b/>
                <w:color w:val="FFFFFF"/>
                <w:sz w:val="20"/>
              </w:rPr>
              <w:t>Page No.</w:t>
            </w:r>
          </w:p>
        </w:tc>
      </w:tr>
      <w:tr>
        <w:tc>
          <w:tcPr>
            <w:tcW w:type="dxa" w:w="3041"/>
          </w:tcPr>
          <w:p>
            <w:r>
              <w:rPr>
                <w:sz w:val="20"/>
              </w:rPr>
              <w:t>2.1</w:t>
            </w:r>
          </w:p>
        </w:tc>
        <w:tc>
          <w:tcPr>
            <w:tcW w:type="dxa" w:w="3041"/>
          </w:tcPr>
          <w:p>
            <w:r>
              <w:rPr>
                <w:sz w:val="20"/>
              </w:rPr>
              <w:t>Hardware Requirements</w:t>
            </w:r>
          </w:p>
        </w:tc>
        <w:tc>
          <w:tcPr>
            <w:tcW w:type="dxa" w:w="3041"/>
          </w:tcPr>
          <w:p>
            <w:r>
              <w:rPr>
                <w:sz w:val="20"/>
              </w:rPr>
              <w:t>—</w:t>
            </w:r>
          </w:p>
        </w:tc>
      </w:tr>
      <w:tr>
        <w:tc>
          <w:tcPr>
            <w:tcW w:type="dxa" w:w="3041"/>
          </w:tcPr>
          <w:p>
            <w:r>
              <w:rPr>
                <w:sz w:val="20"/>
              </w:rPr>
              <w:t>2.2</w:t>
            </w:r>
          </w:p>
        </w:tc>
        <w:tc>
          <w:tcPr>
            <w:tcW w:type="dxa" w:w="3041"/>
          </w:tcPr>
          <w:p>
            <w:r>
              <w:rPr>
                <w:sz w:val="20"/>
              </w:rPr>
              <w:t>Software Requirements</w:t>
            </w:r>
          </w:p>
        </w:tc>
        <w:tc>
          <w:tcPr>
            <w:tcW w:type="dxa" w:w="3041"/>
          </w:tcPr>
          <w:p>
            <w:r>
              <w:rPr>
                <w:sz w:val="20"/>
              </w:rPr>
              <w:t>—</w:t>
            </w:r>
          </w:p>
        </w:tc>
      </w:tr>
      <w:tr>
        <w:tc>
          <w:tcPr>
            <w:tcW w:type="dxa" w:w="3041"/>
          </w:tcPr>
          <w:p>
            <w:r>
              <w:rPr>
                <w:sz w:val="20"/>
              </w:rPr>
              <w:t>2.3</w:t>
            </w:r>
          </w:p>
        </w:tc>
        <w:tc>
          <w:tcPr>
            <w:tcW w:type="dxa" w:w="3041"/>
          </w:tcPr>
          <w:p>
            <w:r>
              <w:rPr>
                <w:sz w:val="20"/>
              </w:rPr>
              <w:t>AEIOU Framework Observation Summary</w:t>
            </w:r>
          </w:p>
        </w:tc>
        <w:tc>
          <w:tcPr>
            <w:tcW w:type="dxa" w:w="3041"/>
          </w:tcPr>
          <w:p>
            <w:r>
              <w:rPr>
                <w:sz w:val="20"/>
              </w:rPr>
              <w:t>—</w:t>
            </w:r>
          </w:p>
        </w:tc>
      </w:tr>
      <w:tr>
        <w:tc>
          <w:tcPr>
            <w:tcW w:type="dxa" w:w="3041"/>
          </w:tcPr>
          <w:p>
            <w:r>
              <w:rPr>
                <w:sz w:val="20"/>
              </w:rPr>
              <w:t>2.4</w:t>
            </w:r>
          </w:p>
        </w:tc>
        <w:tc>
          <w:tcPr>
            <w:tcW w:type="dxa" w:w="3041"/>
          </w:tcPr>
          <w:p>
            <w:r>
              <w:rPr>
                <w:sz w:val="20"/>
              </w:rPr>
              <w:t>Competitive Landscape &amp; Feature Comparison</w:t>
            </w:r>
          </w:p>
        </w:tc>
        <w:tc>
          <w:tcPr>
            <w:tcW w:type="dxa" w:w="3041"/>
          </w:tcPr>
          <w:p>
            <w:r>
              <w:rPr>
                <w:sz w:val="20"/>
              </w:rPr>
              <w:t>—</w:t>
            </w:r>
          </w:p>
        </w:tc>
      </w:tr>
    </w:tbl>
    <w:p>
      <w:r>
        <w:br w:type="page"/>
      </w:r>
    </w:p>
    <w:p>
      <w:pPr>
        <w:pStyle w:val="Heading1"/>
        <w:spacing w:before="280" w:after="80"/>
      </w:pPr>
      <w:r>
        <w:rPr>
          <w:color w:val="1A568C"/>
        </w:rPr>
        <w:t>TABLE OF CONTENTS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2"/>
              </w:rPr>
            </w:r>
          </w:p>
        </w:tc>
        <w:tc>
          <w:tcPr>
            <w:tcW w:type="dxa" w:w="3041"/>
          </w:tcPr>
          <w:p>
            <w:r>
              <w:rPr>
                <w:b/>
                <w:sz w:val="22"/>
              </w:rPr>
              <w:t>ACKNOWLEDGEMENT</w:t>
            </w:r>
          </w:p>
        </w:tc>
        <w:tc>
          <w:tcPr>
            <w:tcW w:type="dxa" w:w="3041"/>
          </w:tcPr>
          <w:p>
            <w:r>
              <w:rPr>
                <w:b/>
                <w:sz w:val="22"/>
              </w:rPr>
              <w:t>i</w:t>
            </w:r>
          </w:p>
        </w:tc>
      </w:tr>
      <w:tr>
        <w:tc>
          <w:tcPr>
            <w:tcW w:type="dxa" w:w="3041"/>
          </w:tcPr>
          <w:p>
            <w:r>
              <w:rPr>
                <w:b/>
                <w:sz w:val="22"/>
              </w:rPr>
            </w:r>
          </w:p>
        </w:tc>
        <w:tc>
          <w:tcPr>
            <w:tcW w:type="dxa" w:w="3041"/>
          </w:tcPr>
          <w:p>
            <w:r>
              <w:rPr>
                <w:b/>
                <w:sz w:val="22"/>
              </w:rPr>
              <w:t>ABSTRACT</w:t>
            </w:r>
          </w:p>
        </w:tc>
        <w:tc>
          <w:tcPr>
            <w:tcW w:type="dxa" w:w="3041"/>
          </w:tcPr>
          <w:p>
            <w:r>
              <w:rPr>
                <w:b/>
                <w:sz w:val="22"/>
              </w:rPr>
              <w:t>ii</w:t>
            </w:r>
          </w:p>
        </w:tc>
      </w:tr>
      <w:tr>
        <w:tc>
          <w:tcPr>
            <w:tcW w:type="dxa" w:w="3041"/>
          </w:tcPr>
          <w:p>
            <w:r>
              <w:rPr>
                <w:b/>
                <w:sz w:val="22"/>
              </w:rPr>
            </w:r>
          </w:p>
        </w:tc>
        <w:tc>
          <w:tcPr>
            <w:tcW w:type="dxa" w:w="3041"/>
          </w:tcPr>
          <w:p>
            <w:r>
              <w:rPr>
                <w:b/>
                <w:sz w:val="22"/>
              </w:rPr>
              <w:t>LIST OF FIGURES</w:t>
            </w:r>
          </w:p>
        </w:tc>
        <w:tc>
          <w:tcPr>
            <w:tcW w:type="dxa" w:w="3041"/>
          </w:tcPr>
          <w:p>
            <w:r>
              <w:rPr>
                <w:b/>
                <w:sz w:val="22"/>
              </w:rPr>
              <w:t>iii</w:t>
            </w:r>
          </w:p>
        </w:tc>
      </w:tr>
      <w:tr>
        <w:tc>
          <w:tcPr>
            <w:tcW w:type="dxa" w:w="3041"/>
          </w:tcPr>
          <w:p>
            <w:r>
              <w:rPr>
                <w:b/>
                <w:sz w:val="22"/>
              </w:rPr>
            </w:r>
          </w:p>
        </w:tc>
        <w:tc>
          <w:tcPr>
            <w:tcW w:type="dxa" w:w="3041"/>
          </w:tcPr>
          <w:p>
            <w:r>
              <w:rPr>
                <w:b/>
                <w:sz w:val="22"/>
              </w:rPr>
              <w:t>LIST OF TABLES</w:t>
            </w:r>
          </w:p>
        </w:tc>
        <w:tc>
          <w:tcPr>
            <w:tcW w:type="dxa" w:w="3041"/>
          </w:tcPr>
          <w:p>
            <w:r>
              <w:rPr>
                <w:b/>
                <w:sz w:val="22"/>
              </w:rPr>
              <w:t>iv</w:t>
            </w:r>
          </w:p>
        </w:tc>
      </w:tr>
      <w:tr>
        <w:tc>
          <w:tcPr>
            <w:tcW w:type="dxa" w:w="3041"/>
            <w:shd w:val="clear" w:color="auto" w:fill="E8F0F8"/>
          </w:tcPr>
          <w:p>
            <w:r>
              <w:rPr>
                <w:b/>
                <w:sz w:val="22"/>
              </w:rPr>
              <w:t>1</w:t>
            </w:r>
          </w:p>
        </w:tc>
        <w:tc>
          <w:tcPr>
            <w:tcW w:type="dxa" w:w="3041"/>
            <w:shd w:val="clear" w:color="auto" w:fill="E8F0F8"/>
          </w:tcPr>
          <w:p>
            <w:r>
              <w:rPr>
                <w:b/>
                <w:sz w:val="22"/>
              </w:rPr>
              <w:t>INTRODUCTION</w:t>
            </w:r>
          </w:p>
        </w:tc>
        <w:tc>
          <w:tcPr>
            <w:tcW w:type="dxa" w:w="3041"/>
            <w:shd w:val="clear" w:color="auto" w:fill="E8F0F8"/>
          </w:tcPr>
          <w:p>
            <w:r>
              <w:rPr>
                <w:b/>
                <w:sz w:val="22"/>
              </w:rPr>
              <w:t>1</w:t>
            </w:r>
          </w:p>
        </w:tc>
      </w:tr>
      <w:tr>
        <w:tc>
          <w:tcPr>
            <w:tcW w:type="dxa" w:w="3041"/>
          </w:tcPr>
          <w:p>
            <w:r>
              <w:rPr>
                <w:b w:val="0"/>
                <w:sz w:val="22"/>
              </w:rPr>
              <w:t>1.1</w:t>
            </w:r>
          </w:p>
        </w:tc>
        <w:tc>
          <w:tcPr>
            <w:tcW w:type="dxa" w:w="3041"/>
          </w:tcPr>
          <w:p>
            <w:r>
              <w:rPr>
                <w:b w:val="0"/>
                <w:sz w:val="22"/>
              </w:rPr>
              <w:t>Problem Summary</w:t>
            </w:r>
          </w:p>
        </w:tc>
        <w:tc>
          <w:tcPr>
            <w:tcW w:type="dxa" w:w="3041"/>
          </w:tcPr>
          <w:p>
            <w:r>
              <w:rPr>
                <w:b w:val="0"/>
                <w:sz w:val="22"/>
              </w:rPr>
            </w:r>
          </w:p>
        </w:tc>
      </w:tr>
      <w:tr>
        <w:tc>
          <w:tcPr>
            <w:tcW w:type="dxa" w:w="3041"/>
          </w:tcPr>
          <w:p>
            <w:r>
              <w:rPr>
                <w:b w:val="0"/>
                <w:sz w:val="22"/>
              </w:rPr>
              <w:t>1.2</w:t>
            </w:r>
          </w:p>
        </w:tc>
        <w:tc>
          <w:tcPr>
            <w:tcW w:type="dxa" w:w="3041"/>
          </w:tcPr>
          <w:p>
            <w:r>
              <w:rPr>
                <w:b w:val="0"/>
                <w:sz w:val="22"/>
              </w:rPr>
              <w:t>Purpose</w:t>
            </w:r>
          </w:p>
        </w:tc>
        <w:tc>
          <w:tcPr>
            <w:tcW w:type="dxa" w:w="3041"/>
          </w:tcPr>
          <w:p>
            <w:r>
              <w:rPr>
                <w:b w:val="0"/>
                <w:sz w:val="22"/>
              </w:rPr>
            </w:r>
          </w:p>
        </w:tc>
      </w:tr>
      <w:tr>
        <w:tc>
          <w:tcPr>
            <w:tcW w:type="dxa" w:w="3041"/>
          </w:tcPr>
          <w:p>
            <w:r>
              <w:rPr>
                <w:b w:val="0"/>
                <w:sz w:val="22"/>
              </w:rPr>
              <w:t>1.3</w:t>
            </w:r>
          </w:p>
        </w:tc>
        <w:tc>
          <w:tcPr>
            <w:tcW w:type="dxa" w:w="3041"/>
          </w:tcPr>
          <w:p>
            <w:r>
              <w:rPr>
                <w:b w:val="0"/>
                <w:sz w:val="22"/>
              </w:rPr>
              <w:t>Scope</w:t>
            </w:r>
          </w:p>
        </w:tc>
        <w:tc>
          <w:tcPr>
            <w:tcW w:type="dxa" w:w="3041"/>
          </w:tcPr>
          <w:p>
            <w:r>
              <w:rPr>
                <w:b w:val="0"/>
                <w:sz w:val="22"/>
              </w:rPr>
            </w:r>
          </w:p>
        </w:tc>
      </w:tr>
      <w:tr>
        <w:tc>
          <w:tcPr>
            <w:tcW w:type="dxa" w:w="3041"/>
          </w:tcPr>
          <w:p>
            <w:r>
              <w:rPr>
                <w:b w:val="0"/>
                <w:sz w:val="22"/>
              </w:rPr>
              <w:t>1.4</w:t>
            </w:r>
          </w:p>
        </w:tc>
        <w:tc>
          <w:tcPr>
            <w:tcW w:type="dxa" w:w="3041"/>
          </w:tcPr>
          <w:p>
            <w:r>
              <w:rPr>
                <w:b w:val="0"/>
                <w:sz w:val="22"/>
              </w:rPr>
              <w:t>Technical and Literature Review</w:t>
            </w:r>
          </w:p>
        </w:tc>
        <w:tc>
          <w:tcPr>
            <w:tcW w:type="dxa" w:w="3041"/>
          </w:tcPr>
          <w:p>
            <w:r>
              <w:rPr>
                <w:b w:val="0"/>
                <w:sz w:val="22"/>
              </w:rPr>
            </w:r>
          </w:p>
        </w:tc>
      </w:tr>
      <w:tr>
        <w:tc>
          <w:tcPr>
            <w:tcW w:type="dxa" w:w="3041"/>
            <w:shd w:val="clear" w:color="auto" w:fill="E8F0F8"/>
          </w:tcPr>
          <w:p>
            <w:r>
              <w:rPr>
                <w:b/>
                <w:sz w:val="22"/>
              </w:rPr>
              <w:t>2</w:t>
            </w:r>
          </w:p>
        </w:tc>
        <w:tc>
          <w:tcPr>
            <w:tcW w:type="dxa" w:w="3041"/>
            <w:shd w:val="clear" w:color="auto" w:fill="E8F0F8"/>
          </w:tcPr>
          <w:p>
            <w:r>
              <w:rPr>
                <w:b/>
                <w:sz w:val="22"/>
              </w:rPr>
              <w:t>SYSTEM REQUIREMENT STUDY</w:t>
            </w:r>
          </w:p>
        </w:tc>
        <w:tc>
          <w:tcPr>
            <w:tcW w:type="dxa" w:w="3041"/>
            <w:shd w:val="clear" w:color="auto" w:fill="E8F0F8"/>
          </w:tcPr>
          <w:p>
            <w:r>
              <w:rPr>
                <w:b/>
                <w:sz w:val="22"/>
              </w:rPr>
            </w:r>
          </w:p>
        </w:tc>
      </w:tr>
      <w:tr>
        <w:tc>
          <w:tcPr>
            <w:tcW w:type="dxa" w:w="3041"/>
          </w:tcPr>
          <w:p>
            <w:r>
              <w:rPr>
                <w:b w:val="0"/>
                <w:sz w:val="22"/>
              </w:rPr>
              <w:t>2.1</w:t>
            </w:r>
          </w:p>
        </w:tc>
        <w:tc>
          <w:tcPr>
            <w:tcW w:type="dxa" w:w="3041"/>
          </w:tcPr>
          <w:p>
            <w:r>
              <w:rPr>
                <w:b w:val="0"/>
                <w:sz w:val="22"/>
              </w:rPr>
              <w:t>User Characteristics</w:t>
            </w:r>
          </w:p>
        </w:tc>
        <w:tc>
          <w:tcPr>
            <w:tcW w:type="dxa" w:w="3041"/>
          </w:tcPr>
          <w:p>
            <w:r>
              <w:rPr>
                <w:b w:val="0"/>
                <w:sz w:val="22"/>
              </w:rPr>
            </w:r>
          </w:p>
        </w:tc>
      </w:tr>
      <w:tr>
        <w:tc>
          <w:tcPr>
            <w:tcW w:type="dxa" w:w="3041"/>
          </w:tcPr>
          <w:p>
            <w:r>
              <w:rPr>
                <w:b w:val="0"/>
                <w:sz w:val="22"/>
              </w:rPr>
              <w:t>2.2</w:t>
            </w:r>
          </w:p>
        </w:tc>
        <w:tc>
          <w:tcPr>
            <w:tcW w:type="dxa" w:w="3041"/>
          </w:tcPr>
          <w:p>
            <w:r>
              <w:rPr>
                <w:b w:val="0"/>
                <w:sz w:val="22"/>
              </w:rPr>
              <w:t>Hardware and Software Characteristics</w:t>
            </w:r>
          </w:p>
        </w:tc>
        <w:tc>
          <w:tcPr>
            <w:tcW w:type="dxa" w:w="3041"/>
          </w:tcPr>
          <w:p>
            <w:r>
              <w:rPr>
                <w:b w:val="0"/>
                <w:sz w:val="22"/>
              </w:rPr>
            </w:r>
          </w:p>
        </w:tc>
      </w:tr>
      <w:tr>
        <w:tc>
          <w:tcPr>
            <w:tcW w:type="dxa" w:w="3041"/>
          </w:tcPr>
          <w:p>
            <w:r>
              <w:rPr>
                <w:b w:val="0"/>
                <w:sz w:val="22"/>
              </w:rPr>
              <w:t>2.2.1</w:t>
            </w:r>
          </w:p>
        </w:tc>
        <w:tc>
          <w:tcPr>
            <w:tcW w:type="dxa" w:w="3041"/>
          </w:tcPr>
          <w:p>
            <w:r>
              <w:rPr>
                <w:b w:val="0"/>
                <w:sz w:val="22"/>
              </w:rPr>
              <w:t>Hardware Requirements</w:t>
            </w:r>
          </w:p>
        </w:tc>
        <w:tc>
          <w:tcPr>
            <w:tcW w:type="dxa" w:w="3041"/>
          </w:tcPr>
          <w:p>
            <w:r>
              <w:rPr>
                <w:b w:val="0"/>
                <w:sz w:val="22"/>
              </w:rPr>
            </w:r>
          </w:p>
        </w:tc>
      </w:tr>
      <w:tr>
        <w:tc>
          <w:tcPr>
            <w:tcW w:type="dxa" w:w="3041"/>
          </w:tcPr>
          <w:p>
            <w:r>
              <w:rPr>
                <w:b w:val="0"/>
                <w:sz w:val="22"/>
              </w:rPr>
              <w:t>2.2.2</w:t>
            </w:r>
          </w:p>
        </w:tc>
        <w:tc>
          <w:tcPr>
            <w:tcW w:type="dxa" w:w="3041"/>
          </w:tcPr>
          <w:p>
            <w:r>
              <w:rPr>
                <w:b w:val="0"/>
                <w:sz w:val="22"/>
              </w:rPr>
              <w:t>Software Requirements</w:t>
            </w:r>
          </w:p>
        </w:tc>
        <w:tc>
          <w:tcPr>
            <w:tcW w:type="dxa" w:w="3041"/>
          </w:tcPr>
          <w:p>
            <w:r>
              <w:rPr>
                <w:b w:val="0"/>
                <w:sz w:val="22"/>
              </w:rPr>
            </w:r>
          </w:p>
        </w:tc>
      </w:tr>
      <w:tr>
        <w:tc>
          <w:tcPr>
            <w:tcW w:type="dxa" w:w="3041"/>
            <w:shd w:val="clear" w:color="auto" w:fill="E8F0F8"/>
          </w:tcPr>
          <w:p>
            <w:r>
              <w:rPr>
                <w:b/>
                <w:sz w:val="22"/>
              </w:rPr>
              <w:t>3</w:t>
            </w:r>
          </w:p>
        </w:tc>
        <w:tc>
          <w:tcPr>
            <w:tcW w:type="dxa" w:w="3041"/>
            <w:shd w:val="clear" w:color="auto" w:fill="E8F0F8"/>
          </w:tcPr>
          <w:p>
            <w:r>
              <w:rPr>
                <w:b/>
                <w:sz w:val="22"/>
              </w:rPr>
              <w:t>PROTOTYPE</w:t>
            </w:r>
          </w:p>
        </w:tc>
        <w:tc>
          <w:tcPr>
            <w:tcW w:type="dxa" w:w="3041"/>
            <w:shd w:val="clear" w:color="auto" w:fill="E8F0F8"/>
          </w:tcPr>
          <w:p>
            <w:r>
              <w:rPr>
                <w:b/>
                <w:sz w:val="22"/>
              </w:rPr>
            </w:r>
          </w:p>
        </w:tc>
      </w:tr>
      <w:tr>
        <w:tc>
          <w:tcPr>
            <w:tcW w:type="dxa" w:w="3041"/>
          </w:tcPr>
          <w:p>
            <w:r>
              <w:rPr>
                <w:b w:val="0"/>
                <w:sz w:val="22"/>
              </w:rPr>
              <w:t>3.1</w:t>
            </w:r>
          </w:p>
        </w:tc>
        <w:tc>
          <w:tcPr>
            <w:tcW w:type="dxa" w:w="3041"/>
          </w:tcPr>
          <w:p>
            <w:r>
              <w:rPr>
                <w:b w:val="0"/>
                <w:sz w:val="22"/>
              </w:rPr>
              <w:t>Details of Prototype</w:t>
            </w:r>
          </w:p>
        </w:tc>
        <w:tc>
          <w:tcPr>
            <w:tcW w:type="dxa" w:w="3041"/>
          </w:tcPr>
          <w:p>
            <w:r>
              <w:rPr>
                <w:b w:val="0"/>
                <w:sz w:val="22"/>
              </w:rPr>
            </w:r>
          </w:p>
        </w:tc>
      </w:tr>
      <w:tr>
        <w:tc>
          <w:tcPr>
            <w:tcW w:type="dxa" w:w="3041"/>
          </w:tcPr>
          <w:p>
            <w:r>
              <w:rPr>
                <w:b w:val="0"/>
                <w:sz w:val="22"/>
              </w:rPr>
              <w:t>3.2</w:t>
            </w:r>
          </w:p>
        </w:tc>
        <w:tc>
          <w:tcPr>
            <w:tcW w:type="dxa" w:w="3041"/>
          </w:tcPr>
          <w:p>
            <w:r>
              <w:rPr>
                <w:b w:val="0"/>
                <w:sz w:val="22"/>
              </w:rPr>
              <w:t>Images of Prototype</w:t>
            </w:r>
          </w:p>
        </w:tc>
        <w:tc>
          <w:tcPr>
            <w:tcW w:type="dxa" w:w="3041"/>
          </w:tcPr>
          <w:p>
            <w:r>
              <w:rPr>
                <w:b w:val="0"/>
                <w:sz w:val="22"/>
              </w:rPr>
            </w:r>
          </w:p>
        </w:tc>
      </w:tr>
      <w:tr>
        <w:tc>
          <w:tcPr>
            <w:tcW w:type="dxa" w:w="3041"/>
            <w:shd w:val="clear" w:color="auto" w:fill="E8F0F8"/>
          </w:tcPr>
          <w:p>
            <w:r>
              <w:rPr>
                <w:b/>
                <w:sz w:val="22"/>
              </w:rPr>
              <w:t>4</w:t>
            </w:r>
          </w:p>
        </w:tc>
        <w:tc>
          <w:tcPr>
            <w:tcW w:type="dxa" w:w="3041"/>
            <w:shd w:val="clear" w:color="auto" w:fill="E8F0F8"/>
          </w:tcPr>
          <w:p>
            <w:r>
              <w:rPr>
                <w:b/>
                <w:sz w:val="22"/>
              </w:rPr>
              <w:t>MIND MAPPING</w:t>
            </w:r>
          </w:p>
        </w:tc>
        <w:tc>
          <w:tcPr>
            <w:tcW w:type="dxa" w:w="3041"/>
            <w:shd w:val="clear" w:color="auto" w:fill="E8F0F8"/>
          </w:tcPr>
          <w:p>
            <w:r>
              <w:rPr>
                <w:b/>
                <w:sz w:val="22"/>
              </w:rPr>
            </w:r>
          </w:p>
        </w:tc>
      </w:tr>
      <w:tr>
        <w:tc>
          <w:tcPr>
            <w:tcW w:type="dxa" w:w="3041"/>
          </w:tcPr>
          <w:p>
            <w:r>
              <w:rPr>
                <w:b w:val="0"/>
                <w:sz w:val="22"/>
              </w:rPr>
              <w:t>4.1</w:t>
            </w:r>
          </w:p>
        </w:tc>
        <w:tc>
          <w:tcPr>
            <w:tcW w:type="dxa" w:w="3041"/>
          </w:tcPr>
          <w:p>
            <w:r>
              <w:rPr>
                <w:b w:val="0"/>
                <w:sz w:val="22"/>
              </w:rPr>
              <w:t>Mind Mapping Canvas</w:t>
            </w:r>
          </w:p>
        </w:tc>
        <w:tc>
          <w:tcPr>
            <w:tcW w:type="dxa" w:w="3041"/>
          </w:tcPr>
          <w:p>
            <w:r>
              <w:rPr>
                <w:b w:val="0"/>
                <w:sz w:val="22"/>
              </w:rPr>
            </w:r>
          </w:p>
        </w:tc>
      </w:tr>
      <w:tr>
        <w:tc>
          <w:tcPr>
            <w:tcW w:type="dxa" w:w="3041"/>
            <w:shd w:val="clear" w:color="auto" w:fill="E8F0F8"/>
          </w:tcPr>
          <w:p>
            <w:r>
              <w:rPr>
                <w:b/>
                <w:sz w:val="22"/>
              </w:rPr>
              <w:t>5</w:t>
            </w:r>
          </w:p>
        </w:tc>
        <w:tc>
          <w:tcPr>
            <w:tcW w:type="dxa" w:w="3041"/>
            <w:shd w:val="clear" w:color="auto" w:fill="E8F0F8"/>
          </w:tcPr>
          <w:p>
            <w:r>
              <w:rPr>
                <w:b/>
                <w:sz w:val="22"/>
              </w:rPr>
              <w:t>CANVAS</w:t>
            </w:r>
          </w:p>
        </w:tc>
        <w:tc>
          <w:tcPr>
            <w:tcW w:type="dxa" w:w="3041"/>
            <w:shd w:val="clear" w:color="auto" w:fill="E8F0F8"/>
          </w:tcPr>
          <w:p>
            <w:r>
              <w:rPr>
                <w:b/>
                <w:sz w:val="22"/>
              </w:rPr>
            </w:r>
          </w:p>
        </w:tc>
      </w:tr>
      <w:tr>
        <w:tc>
          <w:tcPr>
            <w:tcW w:type="dxa" w:w="3041"/>
          </w:tcPr>
          <w:p>
            <w:r>
              <w:rPr>
                <w:b w:val="0"/>
                <w:sz w:val="22"/>
              </w:rPr>
              <w:t>5.1</w:t>
            </w:r>
          </w:p>
        </w:tc>
        <w:tc>
          <w:tcPr>
            <w:tcW w:type="dxa" w:w="3041"/>
          </w:tcPr>
          <w:p>
            <w:r>
              <w:rPr>
                <w:b w:val="0"/>
                <w:sz w:val="22"/>
              </w:rPr>
              <w:t>AEIOU Canvas</w:t>
            </w:r>
          </w:p>
        </w:tc>
        <w:tc>
          <w:tcPr>
            <w:tcW w:type="dxa" w:w="3041"/>
          </w:tcPr>
          <w:p>
            <w:r>
              <w:rPr>
                <w:b w:val="0"/>
                <w:sz w:val="22"/>
              </w:rPr>
            </w:r>
          </w:p>
        </w:tc>
      </w:tr>
      <w:tr>
        <w:tc>
          <w:tcPr>
            <w:tcW w:type="dxa" w:w="3041"/>
          </w:tcPr>
          <w:p>
            <w:r>
              <w:rPr>
                <w:b w:val="0"/>
                <w:sz w:val="22"/>
              </w:rPr>
              <w:t>5.2</w:t>
            </w:r>
          </w:p>
        </w:tc>
        <w:tc>
          <w:tcPr>
            <w:tcW w:type="dxa" w:w="3041"/>
          </w:tcPr>
          <w:p>
            <w:r>
              <w:rPr>
                <w:b w:val="0"/>
                <w:sz w:val="22"/>
              </w:rPr>
              <w:t>Ideation Canvas</w:t>
            </w:r>
          </w:p>
        </w:tc>
        <w:tc>
          <w:tcPr>
            <w:tcW w:type="dxa" w:w="3041"/>
          </w:tcPr>
          <w:p>
            <w:r>
              <w:rPr>
                <w:b w:val="0"/>
                <w:sz w:val="22"/>
              </w:rPr>
            </w:r>
          </w:p>
        </w:tc>
      </w:tr>
      <w:tr>
        <w:tc>
          <w:tcPr>
            <w:tcW w:type="dxa" w:w="3041"/>
          </w:tcPr>
          <w:p>
            <w:r>
              <w:rPr>
                <w:b w:val="0"/>
                <w:sz w:val="22"/>
              </w:rPr>
              <w:t>5.3</w:t>
            </w:r>
          </w:p>
        </w:tc>
        <w:tc>
          <w:tcPr>
            <w:tcW w:type="dxa" w:w="3041"/>
          </w:tcPr>
          <w:p>
            <w:r>
              <w:rPr>
                <w:b w:val="0"/>
                <w:sz w:val="22"/>
              </w:rPr>
              <w:t>Empathy Canvas</w:t>
            </w:r>
          </w:p>
        </w:tc>
        <w:tc>
          <w:tcPr>
            <w:tcW w:type="dxa" w:w="3041"/>
          </w:tcPr>
          <w:p>
            <w:r>
              <w:rPr>
                <w:b w:val="0"/>
                <w:sz w:val="22"/>
              </w:rPr>
            </w:r>
          </w:p>
        </w:tc>
      </w:tr>
      <w:tr>
        <w:tc>
          <w:tcPr>
            <w:tcW w:type="dxa" w:w="3041"/>
          </w:tcPr>
          <w:p>
            <w:r>
              <w:rPr>
                <w:b w:val="0"/>
                <w:sz w:val="22"/>
              </w:rPr>
              <w:t>5.4</w:t>
            </w:r>
          </w:p>
        </w:tc>
        <w:tc>
          <w:tcPr>
            <w:tcW w:type="dxa" w:w="3041"/>
          </w:tcPr>
          <w:p>
            <w:r>
              <w:rPr>
                <w:b w:val="0"/>
                <w:sz w:val="22"/>
              </w:rPr>
              <w:t>Product Development Canvas</w:t>
            </w:r>
          </w:p>
        </w:tc>
        <w:tc>
          <w:tcPr>
            <w:tcW w:type="dxa" w:w="3041"/>
          </w:tcPr>
          <w:p>
            <w:r>
              <w:rPr>
                <w:b w:val="0"/>
                <w:sz w:val="22"/>
              </w:rPr>
            </w:r>
          </w:p>
        </w:tc>
      </w:tr>
      <w:tr>
        <w:tc>
          <w:tcPr>
            <w:tcW w:type="dxa" w:w="3041"/>
            <w:shd w:val="clear" w:color="auto" w:fill="E8F0F8"/>
          </w:tcPr>
          <w:p>
            <w:r>
              <w:rPr>
                <w:b/>
                <w:sz w:val="22"/>
              </w:rPr>
              <w:t>6</w:t>
            </w:r>
          </w:p>
        </w:tc>
        <w:tc>
          <w:tcPr>
            <w:tcW w:type="dxa" w:w="3041"/>
            <w:shd w:val="clear" w:color="auto" w:fill="E8F0F8"/>
          </w:tcPr>
          <w:p>
            <w:r>
              <w:rPr>
                <w:b/>
                <w:sz w:val="22"/>
              </w:rPr>
              <w:t>LIMITATION AND FUTURE ENHANCEMENT</w:t>
            </w:r>
          </w:p>
        </w:tc>
        <w:tc>
          <w:tcPr>
            <w:tcW w:type="dxa" w:w="3041"/>
            <w:shd w:val="clear" w:color="auto" w:fill="E8F0F8"/>
          </w:tcPr>
          <w:p>
            <w:r>
              <w:rPr>
                <w:b/>
                <w:sz w:val="22"/>
              </w:rPr>
            </w:r>
          </w:p>
        </w:tc>
      </w:tr>
      <w:tr>
        <w:tc>
          <w:tcPr>
            <w:tcW w:type="dxa" w:w="3041"/>
            <w:shd w:val="clear" w:color="auto" w:fill="E8F0F8"/>
          </w:tcPr>
          <w:p>
            <w:r>
              <w:rPr>
                <w:b/>
                <w:sz w:val="22"/>
              </w:rPr>
              <w:t>7</w:t>
            </w:r>
          </w:p>
        </w:tc>
        <w:tc>
          <w:tcPr>
            <w:tcW w:type="dxa" w:w="3041"/>
            <w:shd w:val="clear" w:color="auto" w:fill="E8F0F8"/>
          </w:tcPr>
          <w:p>
            <w:r>
              <w:rPr>
                <w:b/>
                <w:sz w:val="22"/>
              </w:rPr>
              <w:t>CONCLUSION</w:t>
            </w:r>
          </w:p>
        </w:tc>
        <w:tc>
          <w:tcPr>
            <w:tcW w:type="dxa" w:w="3041"/>
            <w:shd w:val="clear" w:color="auto" w:fill="E8F0F8"/>
          </w:tcPr>
          <w:p>
            <w:r>
              <w:rPr>
                <w:b/>
                <w:sz w:val="22"/>
              </w:rPr>
            </w:r>
          </w:p>
        </w:tc>
      </w:tr>
      <w:tr>
        <w:tc>
          <w:tcPr>
            <w:tcW w:type="dxa" w:w="3041"/>
          </w:tcPr>
          <w:p>
            <w:r>
              <w:rPr>
                <w:b/>
                <w:sz w:val="22"/>
              </w:rPr>
            </w:r>
          </w:p>
        </w:tc>
        <w:tc>
          <w:tcPr>
            <w:tcW w:type="dxa" w:w="3041"/>
          </w:tcPr>
          <w:p>
            <w:r>
              <w:rPr>
                <w:b/>
                <w:sz w:val="22"/>
              </w:rPr>
              <w:t>REFERENCES</w:t>
            </w:r>
          </w:p>
        </w:tc>
        <w:tc>
          <w:tcPr>
            <w:tcW w:type="dxa" w:w="3041"/>
          </w:tcPr>
          <w:p>
            <w:r>
              <w:rPr>
                <w:b/>
                <w:sz w:val="22"/>
              </w:rPr>
            </w:r>
          </w:p>
        </w:tc>
      </w:tr>
      <w:tr>
        <w:tc>
          <w:tcPr>
            <w:tcW w:type="dxa" w:w="3041"/>
          </w:tcPr>
          <w:p>
            <w:r>
              <w:rPr>
                <w:b/>
                <w:sz w:val="22"/>
              </w:rPr>
            </w:r>
          </w:p>
        </w:tc>
        <w:tc>
          <w:tcPr>
            <w:tcW w:type="dxa" w:w="3041"/>
          </w:tcPr>
          <w:p>
            <w:r>
              <w:rPr>
                <w:b/>
                <w:sz w:val="22"/>
              </w:rPr>
              <w:t>APPENDIX</w:t>
            </w:r>
          </w:p>
        </w:tc>
        <w:tc>
          <w:tcPr>
            <w:tcW w:type="dxa" w:w="3041"/>
          </w:tcPr>
          <w:p>
            <w:r>
              <w:rPr>
                <w:b/>
                <w:sz w:val="22"/>
              </w:rPr>
            </w:r>
          </w:p>
        </w:tc>
      </w:tr>
    </w:tbl>
    <w:p>
      <w:r>
        <w:br w:type="page"/>
      </w:r>
    </w:p>
    <w:p>
      <w:pPr>
        <w:pStyle w:val="Heading1"/>
        <w:spacing w:before="280" w:after="80"/>
      </w:pPr>
      <w:r>
        <w:rPr>
          <w:color w:val="1A568C"/>
        </w:rPr>
        <w:t>CHAPTER 1: INTRODUCTION</w:t>
      </w:r>
    </w:p>
    <w:p>
      <w:pPr>
        <w:pStyle w:val="Heading2"/>
        <w:spacing w:before="280" w:after="80"/>
      </w:pPr>
      <w:r>
        <w:t>1.1 Problem Summary</w:t>
      </w:r>
    </w:p>
    <w:p>
      <w:pPr>
        <w:spacing w:after="120"/>
      </w:pPr>
      <w:r>
        <w:rPr>
          <w:b w:val="0"/>
          <w:i w:val="0"/>
          <w:sz w:val="22"/>
        </w:rPr>
        <w:t>India's elderly population (aged 60 and above) is projected to exceed 300 million by 2050. A significant majority of this demographic manages two or more chronic prescriptions independently, covering conditions such as Type 2 diabetes, hypertension, and cardiac disease. Medication non-adherence in these conditions is a leading cause of preventable hospital readmissions — a crisis that existing technological solutions have failed to adequately address.</w:t>
      </w:r>
    </w:p>
    <w:p>
      <w:pPr>
        <w:spacing w:after="120"/>
      </w:pPr>
      <w:r>
        <w:rPr>
          <w:b w:val="0"/>
          <w:i w:val="0"/>
          <w:sz w:val="22"/>
        </w:rPr>
        <w:t>The core pain points identified through field observation include:</w:t>
      </w:r>
    </w:p>
    <w:p>
      <w:pPr>
        <w:pStyle w:val="ListBullet"/>
        <w:spacing w:after="80"/>
        <w:ind w:left="360"/>
      </w:pPr>
      <w:r>
        <w:t>Handwritten prescriptions that are illegible to patients and caregivers, leading to dosage misinterpretations.</w:t>
      </w:r>
    </w:p>
    <w:p>
      <w:pPr>
        <w:pStyle w:val="ListBullet"/>
        <w:spacing w:after="80"/>
        <w:ind w:left="360"/>
      </w:pPr>
      <w:r>
        <w:t>Generic alarm reminders that lack contextual intelligence (meal timing, stock levels, dose history).</w:t>
      </w:r>
    </w:p>
    <w:p>
      <w:pPr>
        <w:pStyle w:val="ListBullet"/>
        <w:spacing w:after="80"/>
        <w:ind w:left="360"/>
      </w:pPr>
      <w:r>
        <w:t>Silent stock exhaustion — patients discover they have run out of medication only at dose time.</w:t>
      </w:r>
    </w:p>
    <w:p>
      <w:pPr>
        <w:pStyle w:val="ListBullet"/>
        <w:spacing w:after="80"/>
        <w:ind w:left="360"/>
      </w:pPr>
      <w:r>
        <w:t>Hardware dispensers (costing ₹12,000–₹40,000) that are financially inaccessible for middle and lower-income families.</w:t>
      </w:r>
    </w:p>
    <w:p>
      <w:pPr>
        <w:pStyle w:val="ListBullet"/>
        <w:spacing w:after="80"/>
        <w:ind w:left="360"/>
      </w:pPr>
      <w:r>
        <w:t>Family caregivers having no real-time visibility into whether doses are being taken when they are absent.</w:t>
      </w:r>
    </w:p>
    <w:p>
      <w:pPr>
        <w:pStyle w:val="ListBullet"/>
        <w:spacing w:after="80"/>
        <w:ind w:left="360"/>
      </w:pPr>
      <w:r>
        <w:t>Medicine labels and reminder apps designed for tech-comfortable English readers — excluding the very people who need them most.</w:t>
      </w:r>
    </w:p>
    <w:p>
      <w:pPr>
        <w:pStyle w:val="Heading2"/>
        <w:spacing w:before="280" w:after="80"/>
      </w:pPr>
      <w:r>
        <w:t>1.2 Purpose</w:t>
      </w:r>
    </w:p>
    <w:p>
      <w:pPr>
        <w:spacing w:after="120"/>
      </w:pPr>
      <w:r>
        <w:rPr>
          <w:b w:val="0"/>
          <w:i w:val="0"/>
          <w:sz w:val="22"/>
        </w:rPr>
        <w:t>The purpose of MediSathi AI is to develop a purely software-driven, AI-powered medication management companion that eliminates the need for expensive hardware while solving the core compliance and accessibility challenges faced by elderly patients and their caregivers.</w:t>
      </w:r>
    </w:p>
    <w:p>
      <w:pPr>
        <w:spacing w:after="120"/>
      </w:pPr>
      <w:r>
        <w:rPr>
          <w:b w:val="0"/>
          <w:i w:val="0"/>
          <w:sz w:val="22"/>
        </w:rPr>
        <w:t>Specifically, MediSathi AI aims to:</w:t>
      </w:r>
    </w:p>
    <w:p>
      <w:pPr>
        <w:pStyle w:val="ListBullet"/>
        <w:spacing w:after="80"/>
        <w:ind w:left="360"/>
      </w:pPr>
      <w:r>
        <w:t>Convert any handwritten or printed prescription into a structured daily medication schedule using computer vision and multimodal AI.</w:t>
      </w:r>
    </w:p>
    <w:p>
      <w:pPr>
        <w:pStyle w:val="ListBullet"/>
        <w:spacing w:after="80"/>
        <w:ind w:left="360"/>
      </w:pPr>
      <w:r>
        <w:t>Deliver proactive, spoken voice reminders in the patient's regional language (Hindi, Gujarati, English) — removing dependence on text-reading ability.</w:t>
      </w:r>
    </w:p>
    <w:p>
      <w:pPr>
        <w:pStyle w:val="ListBullet"/>
        <w:spacing w:after="80"/>
        <w:ind w:left="360"/>
      </w:pPr>
      <w:r>
        <w:t>Automatically track tablet inventory and trigger second-course continuity alerts before stock runs out.</w:t>
      </w:r>
    </w:p>
    <w:p>
      <w:pPr>
        <w:pStyle w:val="ListBullet"/>
        <w:spacing w:after="80"/>
        <w:ind w:left="360"/>
      </w:pPr>
      <w:r>
        <w:t>Provide a visual pill scanner for identifying unlabelled or loose tablets found at home.</w:t>
      </w:r>
    </w:p>
    <w:p>
      <w:pPr>
        <w:pStyle w:val="ListBullet"/>
        <w:spacing w:after="80"/>
        <w:ind w:left="360"/>
      </w:pPr>
      <w:r>
        <w:t>Serve as an accessible, empathetic digital companion for the 60+ demographic with a large-button, high-contrast, elderly-friendly interface.</w:t>
      </w:r>
    </w:p>
    <w:p>
      <w:pPr>
        <w:pStyle w:val="Heading2"/>
        <w:spacing w:before="280" w:after="80"/>
      </w:pPr>
      <w:r>
        <w:t>1.3 Scope</w:t>
      </w:r>
    </w:p>
    <w:p>
      <w:pPr>
        <w:spacing w:after="120"/>
      </w:pPr>
      <w:r>
        <w:rPr>
          <w:b w:val="0"/>
          <w:i w:val="0"/>
          <w:sz w:val="22"/>
        </w:rPr>
        <w:t>The scope of MediSathi AI as developed for IDT-I encompasses the following:</w:t>
      </w:r>
    </w:p>
    <w:p>
      <w:pPr>
        <w:pStyle w:val="ListBullet"/>
        <w:spacing w:after="80"/>
        <w:ind w:left="360"/>
      </w:pPr>
      <w:r>
        <w:t>Platform: Mobile-first Progressive Web Application (PWA) deployable on Android smartphones through any modern browser, without app store installation.</w:t>
      </w:r>
    </w:p>
    <w:p>
      <w:pPr>
        <w:pStyle w:val="ListBullet"/>
        <w:spacing w:after="80"/>
        <w:ind w:left="360"/>
      </w:pPr>
      <w:r>
        <w:t>Users: Primary — elderly patients (60+) with chronic illness prescriptions. Secondary — adult family caregivers managing prescriptions on behalf of elderly dependants.</w:t>
      </w:r>
    </w:p>
    <w:p>
      <w:pPr>
        <w:pStyle w:val="ListBullet"/>
        <w:spacing w:after="80"/>
        <w:ind w:left="360"/>
      </w:pPr>
      <w:r>
        <w:t>Geography: India-centric design, with support for Hindi, Gujarati, and English regional voice output.</w:t>
      </w:r>
    </w:p>
    <w:p>
      <w:pPr>
        <w:pStyle w:val="ListBullet"/>
        <w:spacing w:after="80"/>
        <w:ind w:left="360"/>
      </w:pPr>
      <w:r>
        <w:t>AI Backend: Google Gemini 2.5 Flash multimodal model for OCR prescription parsing and visual pill identification.</w:t>
      </w:r>
    </w:p>
    <w:p>
      <w:pPr>
        <w:pStyle w:val="ListBullet"/>
        <w:spacing w:after="80"/>
        <w:ind w:left="360"/>
      </w:pPr>
      <w:r>
        <w:t>Data Storage: Local SQLite database ensuring offline reliability for dose reminders even without internet connectivity.</w:t>
      </w:r>
    </w:p>
    <w:p>
      <w:pPr>
        <w:pStyle w:val="ListBullet"/>
        <w:spacing w:after="80"/>
        <w:ind w:left="360"/>
      </w:pPr>
      <w:r>
        <w:t>Out of Scope (Phase 1): Wearable device integration, e-pharmacy auto-refill APIs, doctor EHR dashboard, and AI drug-drug interaction engine are scoped for future phases.</w:t>
      </w:r>
    </w:p>
    <w:p>
      <w:pPr>
        <w:pStyle w:val="Heading2"/>
        <w:spacing w:before="280" w:after="80"/>
      </w:pPr>
      <w:r>
        <w:t>1.4 Technical and Literature Review</w:t>
      </w:r>
    </w:p>
    <w:p>
      <w:pPr>
        <w:spacing w:after="120"/>
      </w:pPr>
      <w:r>
        <w:rPr>
          <w:b w:val="0"/>
          <w:i w:val="0"/>
          <w:sz w:val="22"/>
        </w:rPr>
        <w:t>Research confirms that medication non-adherence globally accounts for 50% of treatment failures and contributes to 125,000 deaths annually (WHO, 2023). The WHO's landmark report 'Adherence to Long-Term Therapies: Evidence for Action' identifies complexity of regimens, forgetfulness, and lack of follow-up as the three primary adherence barriers — all directly targeted by MediSathi AI's feature set.</w:t>
      </w:r>
    </w:p>
    <w:p>
      <w:pPr>
        <w:spacing w:after="120"/>
      </w:pPr>
      <w:r>
        <w:rPr>
          <w:b w:val="0"/>
          <w:i w:val="0"/>
          <w:sz w:val="22"/>
        </w:rPr>
        <w:t>The Journal of Medical Internet Research (JMIR, 2024) confirms that AI-powered prescription parsing using multimodal vision models achieves accuracy rates of 91–96% on standard clinical handwriting, making OCR-first approaches clinically viable. Studies further show that voice-based interventions in regional languages increase medication adherence rates by 34% compared to text-only reminder systems in low-literacy populations.</w:t>
      </w:r>
    </w:p>
    <w:p>
      <w:pPr>
        <w:spacing w:after="120"/>
      </w:pPr>
      <w:r>
        <w:rPr>
          <w:b w:val="0"/>
          <w:i w:val="0"/>
          <w:sz w:val="22"/>
        </w:rPr>
        <w:t>Existing products in the market — including Tata 1mg, PharmEasy, and standard alarm apps — focus on e-commerce or generic reminders, and do not offer: (a) prescription OCR-to-schedule automation, (b) regional voice alerts, (c) supply tracking with course continuity alerts, or (d) visual pill identification. MediSathi AI is designed to fill this gap as a unified, AI-native solution.</w:t>
      </w:r>
    </w:p>
    <w:p>
      <w:r>
        <w:br w:type="page"/>
      </w:r>
    </w:p>
    <w:p>
      <w:pPr>
        <w:pStyle w:val="Heading1"/>
        <w:spacing w:before="280" w:after="80"/>
      </w:pPr>
      <w:r>
        <w:rPr>
          <w:color w:val="1A568C"/>
        </w:rPr>
        <w:t>CHAPTER 2: SYSTEM REQUIREMENT STUDY</w:t>
      </w:r>
    </w:p>
    <w:p>
      <w:pPr>
        <w:pStyle w:val="Heading2"/>
        <w:spacing w:before="280" w:after="80"/>
      </w:pPr>
      <w:r>
        <w:t>2.1 User Characteristics</w:t>
      </w:r>
    </w:p>
    <w:p>
      <w:pPr>
        <w:spacing w:after="120"/>
      </w:pPr>
      <w:r>
        <w:rPr>
          <w:b w:val="0"/>
          <w:i w:val="0"/>
          <w:sz w:val="22"/>
        </w:rPr>
        <w:t>MediSathi AI is designed with three distinct user groups in mind:</w:t>
      </w:r>
    </w:p>
    <w:p>
      <w:pPr>
        <w:spacing w:after="120"/>
      </w:pPr>
      <w:r>
        <w:rPr>
          <w:b/>
          <w:i w:val="0"/>
          <w:sz w:val="22"/>
        </w:rPr>
        <w:t>Primary User — Elderly Patient (60+ years)</w:t>
      </w:r>
    </w:p>
    <w:p>
      <w:pPr>
        <w:pStyle w:val="ListBullet"/>
        <w:spacing w:after="80"/>
        <w:ind w:left="360"/>
      </w:pPr>
      <w:r>
        <w:t>Declining short-term memory; forgets doses without active reminders.</w:t>
      </w:r>
    </w:p>
    <w:p>
      <w:pPr>
        <w:pStyle w:val="ListBullet"/>
        <w:spacing w:after="80"/>
        <w:ind w:left="360"/>
      </w:pPr>
      <w:r>
        <w:t>Poor eyesight; unable to read small font prescription labels.</w:t>
      </w:r>
    </w:p>
    <w:p>
      <w:pPr>
        <w:pStyle w:val="ListBullet"/>
        <w:spacing w:after="80"/>
        <w:ind w:left="360"/>
      </w:pPr>
      <w:r>
        <w:t>Low digital literacy; requires large UI elements, single-tap interactions, and voice guidance.</w:t>
      </w:r>
    </w:p>
    <w:p>
      <w:pPr>
        <w:pStyle w:val="ListBullet"/>
        <w:spacing w:after="80"/>
        <w:ind w:left="360"/>
      </w:pPr>
      <w:r>
        <w:t>Typically manages 2–5 concurrent chronic medications (diabetes, BP, cardiac).</w:t>
      </w:r>
    </w:p>
    <w:p>
      <w:pPr>
        <w:pStyle w:val="ListBullet"/>
        <w:spacing w:after="80"/>
        <w:ind w:left="360"/>
      </w:pPr>
      <w:r>
        <w:t>Often does not speak or read English fluently; relies on Hindi or Gujarati.</w:t>
      </w:r>
    </w:p>
    <w:p>
      <w:pPr>
        <w:spacing w:after="120"/>
      </w:pPr>
      <w:r>
        <w:rPr>
          <w:b/>
          <w:i w:val="0"/>
          <w:sz w:val="22"/>
        </w:rPr>
        <w:t>Secondary User — Family Caregiver</w:t>
      </w:r>
    </w:p>
    <w:p>
      <w:pPr>
        <w:pStyle w:val="ListBullet"/>
        <w:spacing w:after="80"/>
        <w:ind w:left="360"/>
      </w:pPr>
      <w:r>
        <w:t>Adult children or spouse managing prescriptions on behalf of elderly family member.</w:t>
      </w:r>
    </w:p>
    <w:p>
      <w:pPr>
        <w:pStyle w:val="ListBullet"/>
        <w:spacing w:after="80"/>
        <w:ind w:left="360"/>
      </w:pPr>
      <w:r>
        <w:t>Needs remote visibility into dose compliance without being physically present.</w:t>
      </w:r>
    </w:p>
    <w:p>
      <w:pPr>
        <w:pStyle w:val="ListBullet"/>
        <w:spacing w:after="80"/>
        <w:ind w:left="360"/>
      </w:pPr>
      <w:r>
        <w:t>Requires early warning alerts (supply exhaustion, missed doses) rather than reactive information.</w:t>
      </w:r>
    </w:p>
    <w:p>
      <w:pPr>
        <w:spacing w:after="120"/>
      </w:pPr>
      <w:r>
        <w:rPr>
          <w:b/>
          <w:i w:val="0"/>
          <w:sz w:val="22"/>
        </w:rPr>
        <w:t>Tertiary User — Chronic Illness Patient (Any Age)</w:t>
      </w:r>
    </w:p>
    <w:p>
      <w:pPr>
        <w:pStyle w:val="ListBullet"/>
        <w:spacing w:after="80"/>
        <w:ind w:left="360"/>
      </w:pPr>
      <w:r>
        <w:t>Multi-drug regimen patients who need organized, automated scheduling.</w:t>
      </w:r>
    </w:p>
    <w:p>
      <w:pPr>
        <w:pStyle w:val="ListBullet"/>
        <w:spacing w:after="80"/>
        <w:ind w:left="360"/>
      </w:pPr>
      <w:r>
        <w:t>Patients following 2nd-stage or escalating treatment courses (e.g., post-surgery antibiotic cascades).</w:t>
      </w:r>
    </w:p>
    <w:p>
      <w:pPr>
        <w:pStyle w:val="Heading2"/>
        <w:spacing w:before="280" w:after="80"/>
      </w:pPr>
      <w:r>
        <w:t>2.2 Hardware and Software Characteristics</w:t>
      </w:r>
    </w:p>
    <w:p>
      <w:pPr>
        <w:pStyle w:val="Heading3"/>
        <w:spacing w:before="280" w:after="80"/>
      </w:pPr>
      <w:r>
        <w:t>2.2.1 Hardware Requirements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568C"/>
          </w:tcPr>
          <w:p>
            <w:r>
              <w:rPr>
                <w:b/>
                <w:color w:val="FFFFFF"/>
              </w:rPr>
              <w:t>Component</w:t>
            </w:r>
          </w:p>
        </w:tc>
        <w:tc>
          <w:tcPr>
            <w:tcW w:type="dxa" w:w="4561"/>
            <w:shd w:val="clear" w:color="auto" w:fill="1A568C"/>
          </w:tcPr>
          <w:p>
            <w:r>
              <w:rPr>
                <w:b/>
                <w:color w:val="FFFFFF"/>
              </w:rPr>
              <w:t>Minimum Specification</w:t>
            </w:r>
          </w:p>
        </w:tc>
      </w:tr>
      <w:tr>
        <w:tc>
          <w:tcPr>
            <w:tcW w:type="dxa" w:w="4561"/>
          </w:tcPr>
          <w:p>
            <w:r>
              <w:rPr>
                <w:sz w:val="20"/>
              </w:rPr>
              <w:t>Smartphone</w:t>
            </w:r>
          </w:p>
        </w:tc>
        <w:tc>
          <w:tcPr>
            <w:tcW w:type="dxa" w:w="4561"/>
          </w:tcPr>
          <w:p>
            <w:r>
              <w:rPr>
                <w:sz w:val="20"/>
              </w:rPr>
              <w:t>Android 9.0+ or iOS 14+ with Chrome/Safari browser</w:t>
            </w:r>
          </w:p>
        </w:tc>
      </w:tr>
      <w:tr>
        <w:tc>
          <w:tcPr>
            <w:tcW w:type="dxa" w:w="4561"/>
          </w:tcPr>
          <w:p>
            <w:r>
              <w:rPr>
                <w:sz w:val="20"/>
              </w:rPr>
              <w:t>Processor</w:t>
            </w:r>
          </w:p>
        </w:tc>
        <w:tc>
          <w:tcPr>
            <w:tcW w:type="dxa" w:w="4561"/>
          </w:tcPr>
          <w:p>
            <w:r>
              <w:rPr>
                <w:sz w:val="20"/>
              </w:rPr>
              <w:t>Quad-core 1.8 GHz or higher</w:t>
            </w:r>
          </w:p>
        </w:tc>
      </w:tr>
      <w:tr>
        <w:tc>
          <w:tcPr>
            <w:tcW w:type="dxa" w:w="4561"/>
          </w:tcPr>
          <w:p>
            <w:r>
              <w:rPr>
                <w:sz w:val="20"/>
              </w:rPr>
              <w:t>RAM</w:t>
            </w:r>
          </w:p>
        </w:tc>
        <w:tc>
          <w:tcPr>
            <w:tcW w:type="dxa" w:w="4561"/>
          </w:tcPr>
          <w:p>
            <w:r>
              <w:rPr>
                <w:sz w:val="20"/>
              </w:rPr>
              <w:t>3 GB minimum (4 GB recommended)</w:t>
            </w:r>
          </w:p>
        </w:tc>
      </w:tr>
      <w:tr>
        <w:tc>
          <w:tcPr>
            <w:tcW w:type="dxa" w:w="4561"/>
          </w:tcPr>
          <w:p>
            <w:r>
              <w:rPr>
                <w:sz w:val="20"/>
              </w:rPr>
              <w:t>Storage</w:t>
            </w:r>
          </w:p>
        </w:tc>
        <w:tc>
          <w:tcPr>
            <w:tcW w:type="dxa" w:w="4561"/>
          </w:tcPr>
          <w:p>
            <w:r>
              <w:rPr>
                <w:sz w:val="20"/>
              </w:rPr>
              <w:t>100 MB free storage for app cache and local SQLite database</w:t>
            </w:r>
          </w:p>
        </w:tc>
      </w:tr>
      <w:tr>
        <w:tc>
          <w:tcPr>
            <w:tcW w:type="dxa" w:w="4561"/>
          </w:tcPr>
          <w:p>
            <w:r>
              <w:rPr>
                <w:sz w:val="20"/>
              </w:rPr>
              <w:t>Camera</w:t>
            </w:r>
          </w:p>
        </w:tc>
        <w:tc>
          <w:tcPr>
            <w:tcW w:type="dxa" w:w="4561"/>
          </w:tcPr>
          <w:p>
            <w:r>
              <w:rPr>
                <w:sz w:val="20"/>
              </w:rPr>
              <w:t>8 MP rear camera minimum (for OCR prescription scanning and pill identification)</w:t>
            </w:r>
          </w:p>
        </w:tc>
      </w:tr>
      <w:tr>
        <w:tc>
          <w:tcPr>
            <w:tcW w:type="dxa" w:w="4561"/>
          </w:tcPr>
          <w:p>
            <w:r>
              <w:rPr>
                <w:sz w:val="20"/>
              </w:rPr>
              <w:t>Internet</w:t>
            </w:r>
          </w:p>
        </w:tc>
        <w:tc>
          <w:tcPr>
            <w:tcW w:type="dxa" w:w="4561"/>
          </w:tcPr>
          <w:p>
            <w:r>
              <w:rPr>
                <w:sz w:val="20"/>
              </w:rPr>
              <w:t>Mobile data or Wi-Fi required for AI OCR and pill scanning features; offline mode for voice reminders</w:t>
            </w:r>
          </w:p>
        </w:tc>
      </w:tr>
      <w:tr>
        <w:tc>
          <w:tcPr>
            <w:tcW w:type="dxa" w:w="4561"/>
          </w:tcPr>
          <w:p>
            <w:r>
              <w:rPr>
                <w:sz w:val="20"/>
              </w:rPr>
              <w:t>Speaker / Earphone</w:t>
            </w:r>
          </w:p>
        </w:tc>
        <w:tc>
          <w:tcPr>
            <w:tcW w:type="dxa" w:w="4561"/>
          </w:tcPr>
          <w:p>
            <w:r>
              <w:rPr>
                <w:sz w:val="20"/>
              </w:rPr>
              <w:t>Required for regional voice alert output</w:t>
            </w:r>
          </w:p>
        </w:tc>
      </w:tr>
      <w:tr>
        <w:tc>
          <w:tcPr>
            <w:tcW w:type="dxa" w:w="4561"/>
          </w:tcPr>
          <w:p>
            <w:r>
              <w:rPr>
                <w:sz w:val="20"/>
              </w:rPr>
              <w:t>Server (Backend)</w:t>
            </w:r>
          </w:p>
        </w:tc>
        <w:tc>
          <w:tcPr>
            <w:tcW w:type="dxa" w:w="4561"/>
          </w:tcPr>
          <w:p>
            <w:r>
              <w:rPr>
                <w:sz w:val="20"/>
              </w:rPr>
              <w:t>Cloud instance: 1 vCPU, 512 MB RAM minimum (Vercel Serverless Function compatible)</w:t>
            </w:r>
          </w:p>
        </w:tc>
      </w:tr>
    </w:tbl>
    <w:p/>
    <w:p>
      <w:pPr>
        <w:pStyle w:val="Heading3"/>
        <w:spacing w:before="280" w:after="80"/>
      </w:pPr>
      <w:r>
        <w:t>2.2.2 Software Requirements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568C"/>
          </w:tcPr>
          <w:p>
            <w:r>
              <w:rPr>
                <w:b/>
                <w:color w:val="FFFFFF"/>
              </w:rPr>
              <w:t>Layer</w:t>
            </w:r>
          </w:p>
        </w:tc>
        <w:tc>
          <w:tcPr>
            <w:tcW w:type="dxa" w:w="3041"/>
            <w:shd w:val="clear" w:color="auto" w:fill="1A568C"/>
          </w:tcPr>
          <w:p>
            <w:r>
              <w:rPr>
                <w:b/>
                <w:color w:val="FFFFFF"/>
              </w:rPr>
              <w:t>Technology / Tool</w:t>
            </w:r>
          </w:p>
        </w:tc>
        <w:tc>
          <w:tcPr>
            <w:tcW w:type="dxa" w:w="3041"/>
            <w:shd w:val="clear" w:color="auto" w:fill="1A568C"/>
          </w:tcPr>
          <w:p>
            <w:r>
              <w:rPr>
                <w:b/>
                <w:color w:val="FFFFFF"/>
              </w:rPr>
              <w:t>Purpose</w:t>
            </w:r>
          </w:p>
        </w:tc>
      </w:tr>
      <w:tr>
        <w:tc>
          <w:tcPr>
            <w:tcW w:type="dxa" w:w="3041"/>
          </w:tcPr>
          <w:p>
            <w:r>
              <w:rPr>
                <w:sz w:val="20"/>
              </w:rPr>
              <w:t>Frontend Framework</w:t>
            </w:r>
          </w:p>
        </w:tc>
        <w:tc>
          <w:tcPr>
            <w:tcW w:type="dxa" w:w="3041"/>
          </w:tcPr>
          <w:p>
            <w:r>
              <w:rPr>
                <w:sz w:val="20"/>
              </w:rPr>
              <w:t>React 18 + Vite + TypeScript</w:t>
            </w:r>
          </w:p>
        </w:tc>
        <w:tc>
          <w:tcPr>
            <w:tcW w:type="dxa" w:w="3041"/>
          </w:tcPr>
          <w:p>
            <w:r>
              <w:rPr>
                <w:sz w:val="20"/>
              </w:rPr>
              <w:t>Component-based SPA, fast build pipeline</w:t>
            </w:r>
          </w:p>
        </w:tc>
      </w:tr>
      <w:tr>
        <w:tc>
          <w:tcPr>
            <w:tcW w:type="dxa" w:w="3041"/>
          </w:tcPr>
          <w:p>
            <w:r>
              <w:rPr>
                <w:sz w:val="20"/>
              </w:rPr>
              <w:t>Styling</w:t>
            </w:r>
          </w:p>
        </w:tc>
        <w:tc>
          <w:tcPr>
            <w:tcW w:type="dxa" w:w="3041"/>
          </w:tcPr>
          <w:p>
            <w:r>
              <w:rPr>
                <w:sz w:val="20"/>
              </w:rPr>
              <w:t>Tailwind CSS</w:t>
            </w:r>
          </w:p>
        </w:tc>
        <w:tc>
          <w:tcPr>
            <w:tcW w:type="dxa" w:w="3041"/>
          </w:tcPr>
          <w:p>
            <w:r>
              <w:rPr>
                <w:sz w:val="20"/>
              </w:rPr>
              <w:t>Mobile-first responsive, elderly-accessible design</w:t>
            </w:r>
          </w:p>
        </w:tc>
      </w:tr>
      <w:tr>
        <w:tc>
          <w:tcPr>
            <w:tcW w:type="dxa" w:w="3041"/>
          </w:tcPr>
          <w:p>
            <w:r>
              <w:rPr>
                <w:sz w:val="20"/>
              </w:rPr>
              <w:t>PWA</w:t>
            </w:r>
          </w:p>
        </w:tc>
        <w:tc>
          <w:tcPr>
            <w:tcW w:type="dxa" w:w="3041"/>
          </w:tcPr>
          <w:p>
            <w:r>
              <w:rPr>
                <w:sz w:val="20"/>
              </w:rPr>
              <w:t>Vite PWA Plugin + Service Worker</w:t>
            </w:r>
          </w:p>
        </w:tc>
        <w:tc>
          <w:tcPr>
            <w:tcW w:type="dxa" w:w="3041"/>
          </w:tcPr>
          <w:p>
            <w:r>
              <w:rPr>
                <w:sz w:val="20"/>
              </w:rPr>
              <w:t>Installable, offline-capable Progressive Web App</w:t>
            </w:r>
          </w:p>
        </w:tc>
      </w:tr>
      <w:tr>
        <w:tc>
          <w:tcPr>
            <w:tcW w:type="dxa" w:w="3041"/>
          </w:tcPr>
          <w:p>
            <w:r>
              <w:rPr>
                <w:sz w:val="20"/>
              </w:rPr>
              <w:t>Backend Framework</w:t>
            </w:r>
          </w:p>
        </w:tc>
        <w:tc>
          <w:tcPr>
            <w:tcW w:type="dxa" w:w="3041"/>
          </w:tcPr>
          <w:p>
            <w:r>
              <w:rPr>
                <w:sz w:val="20"/>
              </w:rPr>
              <w:t>Python FastAPI</w:t>
            </w:r>
          </w:p>
        </w:tc>
        <w:tc>
          <w:tcPr>
            <w:tcW w:type="dxa" w:w="3041"/>
          </w:tcPr>
          <w:p>
            <w:r>
              <w:rPr>
                <w:sz w:val="20"/>
              </w:rPr>
              <w:t>REST API with CORS, async request handling</w:t>
            </w:r>
          </w:p>
        </w:tc>
      </w:tr>
      <w:tr>
        <w:tc>
          <w:tcPr>
            <w:tcW w:type="dxa" w:w="3041"/>
          </w:tcPr>
          <w:p>
            <w:r>
              <w:rPr>
                <w:sz w:val="20"/>
              </w:rPr>
              <w:t>Database</w:t>
            </w:r>
          </w:p>
        </w:tc>
        <w:tc>
          <w:tcPr>
            <w:tcW w:type="dxa" w:w="3041"/>
          </w:tcPr>
          <w:p>
            <w:r>
              <w:rPr>
                <w:sz w:val="20"/>
              </w:rPr>
              <w:t>SQLite via SQLAlchemy ORM</w:t>
            </w:r>
          </w:p>
        </w:tc>
        <w:tc>
          <w:tcPr>
            <w:tcW w:type="dxa" w:w="3041"/>
          </w:tcPr>
          <w:p>
            <w:r>
              <w:rPr>
                <w:sz w:val="20"/>
              </w:rPr>
              <w:t>Local data persistence, offline reliability</w:t>
            </w:r>
          </w:p>
        </w:tc>
      </w:tr>
      <w:tr>
        <w:tc>
          <w:tcPr>
            <w:tcW w:type="dxa" w:w="3041"/>
          </w:tcPr>
          <w:p>
            <w:r>
              <w:rPr>
                <w:sz w:val="20"/>
              </w:rPr>
              <w:t>AI / Vision API</w:t>
            </w:r>
          </w:p>
        </w:tc>
        <w:tc>
          <w:tcPr>
            <w:tcW w:type="dxa" w:w="3041"/>
          </w:tcPr>
          <w:p>
            <w:r>
              <w:rPr>
                <w:sz w:val="20"/>
              </w:rPr>
              <w:t>Google Gemini 2.5 Flash (google-genai SDK)</w:t>
            </w:r>
          </w:p>
        </w:tc>
        <w:tc>
          <w:tcPr>
            <w:tcW w:type="dxa" w:w="3041"/>
          </w:tcPr>
          <w:p>
            <w:r>
              <w:rPr>
                <w:sz w:val="20"/>
              </w:rPr>
              <w:t>Prescription OCR + Pill Visual Recognition</w:t>
            </w:r>
          </w:p>
        </w:tc>
      </w:tr>
      <w:tr>
        <w:tc>
          <w:tcPr>
            <w:tcW w:type="dxa" w:w="3041"/>
          </w:tcPr>
          <w:p>
            <w:r>
              <w:rPr>
                <w:sz w:val="20"/>
              </w:rPr>
              <w:t>Voice Output</w:t>
            </w:r>
          </w:p>
        </w:tc>
        <w:tc>
          <w:tcPr>
            <w:tcW w:type="dxa" w:w="3041"/>
          </w:tcPr>
          <w:p>
            <w:r>
              <w:rPr>
                <w:sz w:val="20"/>
              </w:rPr>
              <w:t>Web Speech API (SpeechSynthesis)</w:t>
            </w:r>
          </w:p>
        </w:tc>
        <w:tc>
          <w:tcPr>
            <w:tcW w:type="dxa" w:w="3041"/>
          </w:tcPr>
          <w:p>
            <w:r>
              <w:rPr>
                <w:sz w:val="20"/>
              </w:rPr>
              <w:t>Regional spoken voice reminders</w:t>
            </w:r>
          </w:p>
        </w:tc>
      </w:tr>
      <w:tr>
        <w:tc>
          <w:tcPr>
            <w:tcW w:type="dxa" w:w="3041"/>
          </w:tcPr>
          <w:p>
            <w:r>
              <w:rPr>
                <w:sz w:val="20"/>
              </w:rPr>
              <w:t>Deployment</w:t>
            </w:r>
          </w:p>
        </w:tc>
        <w:tc>
          <w:tcPr>
            <w:tcW w:type="dxa" w:w="3041"/>
          </w:tcPr>
          <w:p>
            <w:r>
              <w:rPr>
                <w:sz w:val="20"/>
              </w:rPr>
              <w:t>Vercel (Frontend CDN + Serverless Functions)</w:t>
            </w:r>
          </w:p>
        </w:tc>
        <w:tc>
          <w:tcPr>
            <w:tcW w:type="dxa" w:w="3041"/>
          </w:tcPr>
          <w:p>
            <w:r>
              <w:rPr>
                <w:sz w:val="20"/>
              </w:rPr>
              <w:t>Zero-config CI/CD, global CDN</w:t>
            </w:r>
          </w:p>
        </w:tc>
      </w:tr>
      <w:tr>
        <w:tc>
          <w:tcPr>
            <w:tcW w:type="dxa" w:w="3041"/>
          </w:tcPr>
          <w:p>
            <w:r>
              <w:rPr>
                <w:sz w:val="20"/>
              </w:rPr>
              <w:t>Version Control</w:t>
            </w:r>
          </w:p>
        </w:tc>
        <w:tc>
          <w:tcPr>
            <w:tcW w:type="dxa" w:w="3041"/>
          </w:tcPr>
          <w:p>
            <w:r>
              <w:rPr>
                <w:sz w:val="20"/>
              </w:rPr>
              <w:t>Git + GitHub</w:t>
            </w:r>
          </w:p>
        </w:tc>
        <w:tc>
          <w:tcPr>
            <w:tcW w:type="dxa" w:w="3041"/>
          </w:tcPr>
          <w:p>
            <w:r>
              <w:rPr>
                <w:sz w:val="20"/>
              </w:rPr>
              <w:t>Source control and collaborative development</w:t>
            </w:r>
          </w:p>
        </w:tc>
      </w:tr>
      <w:tr>
        <w:tc>
          <w:tcPr>
            <w:tcW w:type="dxa" w:w="3041"/>
          </w:tcPr>
          <w:p>
            <w:r>
              <w:rPr>
                <w:sz w:val="20"/>
              </w:rPr>
              <w:t>Testing</w:t>
            </w:r>
          </w:p>
        </w:tc>
        <w:tc>
          <w:tcPr>
            <w:tcW w:type="dxa" w:w="3041"/>
          </w:tcPr>
          <w:p>
            <w:r>
              <w:rPr>
                <w:sz w:val="20"/>
              </w:rPr>
              <w:t>pytest + FastAPI TestClient</w:t>
            </w:r>
          </w:p>
        </w:tc>
        <w:tc>
          <w:tcPr>
            <w:tcW w:type="dxa" w:w="3041"/>
          </w:tcPr>
          <w:p>
            <w:r>
              <w:rPr>
                <w:sz w:val="20"/>
              </w:rPr>
              <w:t>Automated backend API testing</w:t>
            </w:r>
          </w:p>
        </w:tc>
      </w:tr>
    </w:tbl>
    <w:p/>
    <w:p>
      <w:pPr>
        <w:spacing w:after="120"/>
      </w:pPr>
      <w:r>
        <w:rPr>
          <w:b/>
          <w:i w:val="0"/>
          <w:sz w:val="22"/>
        </w:rPr>
        <w:t>AEIOU Framework Observation Summary (Table 2.3)</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568C"/>
          </w:tcPr>
          <w:p>
            <w:r>
              <w:rPr>
                <w:b/>
                <w:color w:val="FFFFFF"/>
              </w:rPr>
              <w:t>Element</w:t>
            </w:r>
          </w:p>
        </w:tc>
        <w:tc>
          <w:tcPr>
            <w:tcW w:type="dxa" w:w="3041"/>
            <w:shd w:val="clear" w:color="auto" w:fill="1A568C"/>
          </w:tcPr>
          <w:p>
            <w:r>
              <w:rPr>
                <w:b/>
                <w:color w:val="FFFFFF"/>
              </w:rPr>
              <w:t>Field Observation</w:t>
            </w:r>
          </w:p>
        </w:tc>
        <w:tc>
          <w:tcPr>
            <w:tcW w:type="dxa" w:w="3041"/>
            <w:shd w:val="clear" w:color="auto" w:fill="1A568C"/>
          </w:tcPr>
          <w:p>
            <w:r>
              <w:rPr>
                <w:b/>
                <w:color w:val="FFFFFF"/>
              </w:rPr>
              <w:t>Identified Pain Point</w:t>
            </w:r>
          </w:p>
        </w:tc>
      </w:tr>
      <w:tr>
        <w:tc>
          <w:tcPr>
            <w:tcW w:type="dxa" w:w="3041"/>
          </w:tcPr>
          <w:p>
            <w:r>
              <w:rPr>
                <w:sz w:val="19"/>
              </w:rPr>
              <w:t>Activities (A)</w:t>
            </w:r>
          </w:p>
        </w:tc>
        <w:tc>
          <w:tcPr>
            <w:tcW w:type="dxa" w:w="3041"/>
          </w:tcPr>
          <w:p>
            <w:r>
              <w:rPr>
                <w:sz w:val="19"/>
              </w:rPr>
              <w:t>Reading prescriptions, organizing pill boxes, calling pharmacies for stock, setting alarm clocks.</w:t>
            </w:r>
          </w:p>
        </w:tc>
        <w:tc>
          <w:tcPr>
            <w:tcW w:type="dxa" w:w="3041"/>
          </w:tcPr>
          <w:p>
            <w:r>
              <w:rPr>
                <w:sz w:val="19"/>
              </w:rPr>
              <w:t>High cognitive load; high error rate in translating doctor handwriting; forgotten re-orders.</w:t>
            </w:r>
          </w:p>
        </w:tc>
      </w:tr>
      <w:tr>
        <w:tc>
          <w:tcPr>
            <w:tcW w:type="dxa" w:w="3041"/>
          </w:tcPr>
          <w:p>
            <w:r>
              <w:rPr>
                <w:sz w:val="19"/>
              </w:rPr>
              <w:t>Environments (E)</w:t>
            </w:r>
          </w:p>
        </w:tc>
        <w:tc>
          <w:tcPr>
            <w:tcW w:type="dxa" w:w="3041"/>
          </w:tcPr>
          <w:p>
            <w:r>
              <w:rPr>
                <w:sz w:val="19"/>
              </w:rPr>
              <w:t>Bedside tables, kitchens, dim living rooms, busy outpatient clinics, retail pharmacy counters.</w:t>
            </w:r>
          </w:p>
        </w:tc>
        <w:tc>
          <w:tcPr>
            <w:tcW w:type="dxa" w:w="3041"/>
          </w:tcPr>
          <w:p>
            <w:r>
              <w:rPr>
                <w:sz w:val="19"/>
              </w:rPr>
              <w:t>Poor lighting for reading small print; chaotic home environments causing distraction during dose times.</w:t>
            </w:r>
          </w:p>
        </w:tc>
      </w:tr>
      <w:tr>
        <w:tc>
          <w:tcPr>
            <w:tcW w:type="dxa" w:w="3041"/>
          </w:tcPr>
          <w:p>
            <w:r>
              <w:rPr>
                <w:sz w:val="19"/>
              </w:rPr>
              <w:t>Interactions (I)</w:t>
            </w:r>
          </w:p>
        </w:tc>
        <w:tc>
          <w:tcPr>
            <w:tcW w:type="dxa" w:w="3041"/>
          </w:tcPr>
          <w:p>
            <w:r>
              <w:rPr>
                <w:sz w:val="19"/>
              </w:rPr>
              <w:t>Elderly asking children to read labels; caregivers reminding parents; frantic calls to doctors when pills run out.</w:t>
            </w:r>
          </w:p>
        </w:tc>
        <w:tc>
          <w:tcPr>
            <w:tcW w:type="dxa" w:w="3041"/>
          </w:tcPr>
          <w:p>
            <w:r>
              <w:rPr>
                <w:sz w:val="19"/>
              </w:rPr>
              <w:t>Dependence on family members creates anxiety; breakdown in communication when caregivers are away.</w:t>
            </w:r>
          </w:p>
        </w:tc>
      </w:tr>
      <w:tr>
        <w:tc>
          <w:tcPr>
            <w:tcW w:type="dxa" w:w="3041"/>
          </w:tcPr>
          <w:p>
            <w:r>
              <w:rPr>
                <w:sz w:val="19"/>
              </w:rPr>
              <w:t>Objects (O)</w:t>
            </w:r>
          </w:p>
        </w:tc>
        <w:tc>
          <w:tcPr>
            <w:tcW w:type="dxa" w:w="3041"/>
          </w:tcPr>
          <w:p>
            <w:r>
              <w:rPr>
                <w:sz w:val="19"/>
              </w:rPr>
              <w:t>Paper prescriptions, multi-compartment pill boxes, foil blister packs, syrup bottles, smartphone alarms, paper logs.</w:t>
            </w:r>
          </w:p>
        </w:tc>
        <w:tc>
          <w:tcPr>
            <w:tcW w:type="dxa" w:w="3041"/>
          </w:tcPr>
          <w:p>
            <w:r>
              <w:rPr>
                <w:sz w:val="19"/>
              </w:rPr>
              <w:t>Blister packs look visually identical; paper logs get lost; basic alarms dismissed without taking pills.</w:t>
            </w:r>
          </w:p>
        </w:tc>
      </w:tr>
      <w:tr>
        <w:tc>
          <w:tcPr>
            <w:tcW w:type="dxa" w:w="3041"/>
          </w:tcPr>
          <w:p>
            <w:r>
              <w:rPr>
                <w:sz w:val="19"/>
              </w:rPr>
              <w:t>Users (U)</w:t>
            </w:r>
          </w:p>
        </w:tc>
        <w:tc>
          <w:tcPr>
            <w:tcW w:type="dxa" w:w="3041"/>
          </w:tcPr>
          <w:p>
            <w:r>
              <w:rPr>
                <w:sz w:val="19"/>
              </w:rPr>
              <w:t>Elderly chronic patients (60+ yrs), busy adult caregivers, multi-drug regimen patients, doctors, pharmacists.</w:t>
            </w:r>
          </w:p>
        </w:tc>
        <w:tc>
          <w:tcPr>
            <w:tcW w:type="dxa" w:w="3041"/>
          </w:tcPr>
          <w:p>
            <w:r>
              <w:rPr>
                <w:sz w:val="19"/>
              </w:rPr>
              <w:t>Elders have declining eyesight and tech-phobia; caregivers lack real-time visibility into dose compliance.</w:t>
            </w:r>
          </w:p>
        </w:tc>
      </w:tr>
    </w:tbl>
    <w:p>
      <w:r>
        <w:br w:type="page"/>
      </w:r>
    </w:p>
    <w:p>
      <w:pPr>
        <w:pStyle w:val="Heading1"/>
        <w:spacing w:before="280" w:after="80"/>
      </w:pPr>
      <w:r>
        <w:rPr>
          <w:color w:val="1A568C"/>
        </w:rPr>
        <w:t>CHAPTER 3: PROTOTYPE</w:t>
      </w:r>
    </w:p>
    <w:p>
      <w:pPr>
        <w:pStyle w:val="Heading2"/>
        <w:spacing w:before="280" w:after="80"/>
      </w:pPr>
      <w:r>
        <w:t>3.1 Details of Prototype</w:t>
      </w:r>
    </w:p>
    <w:p>
      <w:pPr>
        <w:spacing w:after="120"/>
      </w:pPr>
      <w:r>
        <w:rPr>
          <w:b w:val="0"/>
          <w:i w:val="0"/>
          <w:sz w:val="22"/>
        </w:rPr>
        <w:t>The MediSathi AI prototype is a fully functional, demo-ready web application built as a Progressive Web App (PWA). It is accessible via any modern mobile browser and demonstrates all four core features end-to-end with live AI integration, regional voice output, and a real-time SQLite-backed medication database.</w:t>
      </w:r>
    </w:p>
    <w:p>
      <w:pPr>
        <w:spacing w:after="120"/>
      </w:pPr>
      <w:r>
        <w:rPr>
          <w:b/>
          <w:i w:val="0"/>
          <w:sz w:val="22"/>
        </w:rPr>
        <w:t>Feature 1: Scan Rx — Intelligent OCR &amp; Prescription Parsing Engine</w:t>
      </w:r>
    </w:p>
    <w:p>
      <w:pPr>
        <w:spacing w:after="120"/>
      </w:pPr>
      <w:r>
        <w:rPr>
          <w:b w:val="0"/>
          <w:i w:val="0"/>
          <w:sz w:val="22"/>
        </w:rPr>
        <w:t>Users upload a photograph of a handwritten or printed doctor's prescription. The image is sent to the Google Gemini 2.5 Flash multimodal API, which extracts structured medication data: medicine name, strength, dosage frequency, meal timing, course duration, and pill count. This data is automatically written into the SQLite database as a new medication schedule. Tested successfully on real handwritten prescriptions including complex multi-drug regimens.</w:t>
      </w:r>
    </w:p>
    <w:p>
      <w:pPr>
        <w:spacing w:after="120"/>
      </w:pPr>
      <w:r>
        <w:rPr>
          <w:b/>
          <w:i w:val="0"/>
          <w:sz w:val="22"/>
        </w:rPr>
        <w:t>Feature 2: Dynamic Schedule &amp; Regional Voice Alerts</w:t>
      </w:r>
    </w:p>
    <w:p>
      <w:pPr>
        <w:spacing w:after="120"/>
      </w:pPr>
      <w:r>
        <w:rPr>
          <w:b w:val="0"/>
          <w:i w:val="0"/>
          <w:sz w:val="22"/>
        </w:rPr>
        <w:t>The medication dashboard displays all active prescriptions with their daily dose timings. At each dose time, a spoken voice alert is triggered via the Web Speech API in the user's chosen language: Hindi (e.g., 'Aapki dawai lene ka samay ho gaya hai'), Gujarati, or English. Users confirm dose intake with a single large-button tap ('Pill Taken'), which updates the inventory count in real time.</w:t>
      </w:r>
    </w:p>
    <w:p>
      <w:pPr>
        <w:spacing w:after="120"/>
      </w:pPr>
      <w:r>
        <w:rPr>
          <w:b/>
          <w:i w:val="0"/>
          <w:sz w:val="22"/>
        </w:rPr>
        <w:t>Feature 3: Supply Tracking &amp; Second Course Alert</w:t>
      </w:r>
    </w:p>
    <w:p>
      <w:pPr>
        <w:spacing w:after="120"/>
      </w:pPr>
      <w:r>
        <w:rPr>
          <w:b w:val="0"/>
          <w:i w:val="0"/>
          <w:sz w:val="22"/>
        </w:rPr>
        <w:t>The system continuously tracks pills remaining. When stock drops below 20% of the original quantity (or 2 days before course completion), MediSathi AI triggers a high-visibility 'Second Course Alert' card on the dashboard, prompting the patient to re-order or book a follow-up appointment before the gap occurs.</w:t>
      </w:r>
    </w:p>
    <w:p>
      <w:pPr>
        <w:spacing w:after="120"/>
      </w:pPr>
      <w:r>
        <w:rPr>
          <w:b/>
          <w:i w:val="0"/>
          <w:sz w:val="22"/>
        </w:rPr>
        <w:t>Feature 4: Visual Pill Scanner — Unknown Drug Lookup</w:t>
      </w:r>
    </w:p>
    <w:p>
      <w:pPr>
        <w:spacing w:after="120"/>
      </w:pPr>
      <w:r>
        <w:rPr>
          <w:b w:val="0"/>
          <w:i w:val="0"/>
          <w:sz w:val="22"/>
        </w:rPr>
        <w:t>Users photograph a loose or unlabelled pill or blister strip. The Gemini vision model analyzes the image and returns the drug name, medical purpose, standard dosage guidance, and expiry status. This feature prevents dangerous guesswork when handling unidentified medications found at home.</w:t>
      </w:r>
    </w:p>
    <w:p>
      <w:pPr>
        <w:pStyle w:val="Heading2"/>
        <w:spacing w:before="280" w:after="80"/>
      </w:pPr>
      <w:r>
        <w:t>3.2 Images of Prototype</w:t>
      </w:r>
    </w:p>
    <w:p>
      <w:pPr>
        <w:spacing w:after="120"/>
      </w:pPr>
      <w:r>
        <w:rPr>
          <w:b w:val="0"/>
          <w:i/>
          <w:sz w:val="22"/>
        </w:rPr>
        <w:t>[Figure 3.1 — Scan Rx Screen: Prescription OCR Upload Interface]</w:t>
      </w:r>
    </w:p>
    <w:p>
      <w:pPr>
        <w:spacing w:after="120"/>
      </w:pPr>
      <w:r>
        <w:rPr>
          <w:b w:val="0"/>
          <w:i/>
          <w:sz w:val="22"/>
        </w:rPr>
        <w:t>[Figure 3.2 — Medication Schedule Dashboard with Dose Confirmation Buttons]</w:t>
      </w:r>
    </w:p>
    <w:p>
      <w:pPr>
        <w:spacing w:after="120"/>
      </w:pPr>
      <w:r>
        <w:rPr>
          <w:b w:val="0"/>
          <w:i/>
          <w:sz w:val="22"/>
        </w:rPr>
        <w:t>[Figure 3.3 — Supply Tracker showing Second Course Alert trigger at 20% remaining]</w:t>
      </w:r>
    </w:p>
    <w:p>
      <w:pPr>
        <w:spacing w:after="120"/>
      </w:pPr>
      <w:r>
        <w:rPr>
          <w:b w:val="0"/>
          <w:i/>
          <w:sz w:val="22"/>
        </w:rPr>
        <w:t>[Figure 3.4 — Visual Pill Scanner Screen with AI-returned drug identification results]</w:t>
      </w:r>
    </w:p>
    <w:p>
      <w:pPr>
        <w:spacing w:after="120"/>
      </w:pPr>
      <w:r>
        <w:rPr>
          <w:b w:val="0"/>
          <w:i/>
          <w:sz w:val="22"/>
        </w:rPr>
        <w:t>(Attach actual screenshots from the running MediSathi AI application)</w:t>
      </w:r>
    </w:p>
    <w:p>
      <w:r>
        <w:br w:type="page"/>
      </w:r>
    </w:p>
    <w:p>
      <w:pPr>
        <w:pStyle w:val="Heading1"/>
        <w:spacing w:before="280" w:after="80"/>
      </w:pPr>
      <w:r>
        <w:rPr>
          <w:color w:val="1A568C"/>
        </w:rPr>
        <w:t>CHAPTER 4: MIND MAPPING</w:t>
      </w:r>
    </w:p>
    <w:p>
      <w:pPr>
        <w:pStyle w:val="Heading2"/>
        <w:spacing w:before="280" w:after="80"/>
      </w:pPr>
      <w:r>
        <w:t>4.1 Mind Mapping Canvas</w:t>
      </w:r>
    </w:p>
    <w:p>
      <w:pPr>
        <w:spacing w:after="120"/>
      </w:pPr>
      <w:r>
        <w:rPr>
          <w:b w:val="0"/>
          <w:i w:val="0"/>
          <w:sz w:val="22"/>
        </w:rPr>
        <w:t>The MediSathi AI Mind Map was constructed around the central node 'Medication Non-Adherence' and branches outward through five primary domains:</w:t>
      </w:r>
    </w:p>
    <w:p>
      <w:pPr>
        <w:pStyle w:val="ListBullet"/>
        <w:spacing w:after="80"/>
        <w:ind w:left="360"/>
      </w:pPr>
      <w:r>
        <w:t>Patient Pain Points: Memory decline, illegible prescriptions, language barriers, financial constraints.</w:t>
      </w:r>
    </w:p>
    <w:p>
      <w:pPr>
        <w:pStyle w:val="ListBullet"/>
        <w:spacing w:after="80"/>
        <w:ind w:left="360"/>
      </w:pPr>
      <w:r>
        <w:t>Technology Solutions: Multimodal OCR, voice synthesis APIs, visual recognition models, offline-first PWA architecture.</w:t>
      </w:r>
    </w:p>
    <w:p>
      <w:pPr>
        <w:pStyle w:val="ListBullet"/>
        <w:spacing w:after="80"/>
        <w:ind w:left="360"/>
      </w:pPr>
      <w:r>
        <w:t>User Experience Design: Large UI elements, single-tap dose confirmation, high-contrast accessibility, elderly-first UI principles.</w:t>
      </w:r>
    </w:p>
    <w:p>
      <w:pPr>
        <w:pStyle w:val="ListBullet"/>
        <w:spacing w:after="80"/>
        <w:ind w:left="360"/>
      </w:pPr>
      <w:r>
        <w:t>System Architecture: React + Vite frontend, FastAPI Python backend, SQLite database, Gemini AI API integration, Vercel deployment.</w:t>
      </w:r>
    </w:p>
    <w:p>
      <w:pPr>
        <w:pStyle w:val="ListBullet"/>
        <w:spacing w:after="80"/>
        <w:ind w:left="360"/>
      </w:pPr>
      <w:r>
        <w:t>Impact &amp; SDG Alignment: SDG Goal 3 (Good Health), SDG Goal 10 (Reduced Inequalities), reduced hospital readmissions, caregiver empowerment.</w:t>
      </w:r>
    </w:p>
    <w:p>
      <w:pPr>
        <w:spacing w:after="120"/>
      </w:pPr>
      <w:r>
        <w:rPr>
          <w:b w:val="0"/>
          <w:i/>
          <w:sz w:val="22"/>
        </w:rPr>
        <w:t>[Figure 4.1 — MediSathi AI Mind Mapping Canvas]</w:t>
      </w:r>
    </w:p>
    <w:p>
      <w:pPr>
        <w:spacing w:after="120"/>
      </w:pPr>
      <w:r>
        <w:rPr>
          <w:b w:val="0"/>
          <w:i/>
          <w:sz w:val="22"/>
        </w:rPr>
        <w:t>(Attach the full mind map diagram)</w:t>
      </w:r>
    </w:p>
    <w:p>
      <w:r>
        <w:br w:type="page"/>
      </w:r>
    </w:p>
    <w:p>
      <w:pPr>
        <w:pStyle w:val="Heading1"/>
        <w:spacing w:before="280" w:after="80"/>
      </w:pPr>
      <w:r>
        <w:rPr>
          <w:color w:val="1A568C"/>
        </w:rPr>
        <w:t>CHAPTER 5: CANVAS</w:t>
      </w:r>
    </w:p>
    <w:p>
      <w:pPr>
        <w:pStyle w:val="Heading2"/>
        <w:spacing w:before="280" w:after="80"/>
      </w:pPr>
      <w:r>
        <w:t>5.1 AEIOU Canvas</w:t>
      </w:r>
    </w:p>
    <w:p>
      <w:pPr>
        <w:spacing w:after="120"/>
      </w:pPr>
      <w:r>
        <w:rPr>
          <w:b w:val="0"/>
          <w:i w:val="0"/>
          <w:sz w:val="22"/>
        </w:rPr>
        <w:t>The AEIOU (Activities, Environments, Interactions, Objects, Users) framework was applied through field observations at patient homes, outpatient clinics, and retail pharmacy outlets. The canvas systematically documented real-world behavior and identified 16 distinct pain points in the current medication management ecosystem. Key insights:</w:t>
      </w:r>
    </w:p>
    <w:p>
      <w:pPr>
        <w:pStyle w:val="ListBullet"/>
        <w:spacing w:after="80"/>
        <w:ind w:left="360"/>
      </w:pPr>
      <w:r>
        <w:t>Activities: High cognitive overhead in reading and organizing prescriptions; reactive rather than proactive refilling behavior.</w:t>
      </w:r>
    </w:p>
    <w:p>
      <w:pPr>
        <w:pStyle w:val="ListBullet"/>
        <w:spacing w:after="80"/>
        <w:ind w:left="360"/>
      </w:pPr>
      <w:r>
        <w:t>Environments: Adverse lighting and busy household environments create error-prone dose moments.</w:t>
      </w:r>
    </w:p>
    <w:p>
      <w:pPr>
        <w:pStyle w:val="ListBullet"/>
        <w:spacing w:after="80"/>
        <w:ind w:left="360"/>
      </w:pPr>
      <w:r>
        <w:t>Interactions: Over-reliance on family caregivers for prescription translation and reminders creates a fragile support chain.</w:t>
      </w:r>
    </w:p>
    <w:p>
      <w:pPr>
        <w:pStyle w:val="ListBullet"/>
        <w:spacing w:after="80"/>
        <w:ind w:left="360"/>
      </w:pPr>
      <w:r>
        <w:t>Objects: Visually indistinguishable blister packs and missing medication logs create identification and compliance gaps.</w:t>
      </w:r>
    </w:p>
    <w:p>
      <w:pPr>
        <w:pStyle w:val="ListBullet"/>
        <w:spacing w:after="80"/>
        <w:ind w:left="360"/>
      </w:pPr>
      <w:r>
        <w:t>Users: Elderly patients and geographically-distant caregivers are the most underserved by existing digital tools.</w:t>
      </w:r>
    </w:p>
    <w:p>
      <w:pPr>
        <w:spacing w:after="120"/>
      </w:pPr>
      <w:r>
        <w:rPr>
          <w:b w:val="0"/>
          <w:i/>
          <w:sz w:val="22"/>
        </w:rPr>
        <w:t>[Figure 5.1 — AEIOU Observation Framework Canvas]</w:t>
      </w:r>
    </w:p>
    <w:p>
      <w:pPr>
        <w:pStyle w:val="Heading2"/>
        <w:spacing w:before="280" w:after="80"/>
      </w:pPr>
      <w:r>
        <w:t>5.2 Ideation Canvas</w:t>
      </w:r>
    </w:p>
    <w:p>
      <w:pPr>
        <w:spacing w:after="120"/>
      </w:pPr>
      <w:r>
        <w:rPr>
          <w:b w:val="0"/>
          <w:i w:val="0"/>
          <w:sz w:val="22"/>
        </w:rPr>
        <w:t>Following AEIOU analysis, the Ideation Canvas was structured around four core pillars that directly address the identified pain points:</w:t>
      </w:r>
    </w:p>
    <w:p>
      <w:pPr>
        <w:pStyle w:val="ListBullet"/>
        <w:spacing w:after="80"/>
        <w:ind w:left="360"/>
      </w:pPr>
      <w:r>
        <w:t>Pillar 1 — Vision-First Data Ingestion: Eliminate manual data entry by using AI OCR to convert any prescription photograph into a structured medication schedule automatically.</w:t>
      </w:r>
    </w:p>
    <w:p>
      <w:pPr>
        <w:pStyle w:val="ListBullet"/>
        <w:spacing w:after="80"/>
        <w:ind w:left="360"/>
      </w:pPr>
      <w:r>
        <w:t>Pillar 2 — Proactive Dual-Phase Scheduling: Schedule daily dose reminders AND automatically calculate second-course continuity alerts at 20% stock depletion to prevent treatment gaps.</w:t>
      </w:r>
    </w:p>
    <w:p>
      <w:pPr>
        <w:pStyle w:val="ListBullet"/>
        <w:spacing w:after="80"/>
        <w:ind w:left="360"/>
      </w:pPr>
      <w:r>
        <w:t>Pillar 3 — Multi-Modal Accessibility: Deliver reminders as spoken voice output in Hindi, Gujarati, and English to serve users who cannot read digital text notifications.</w:t>
      </w:r>
    </w:p>
    <w:p>
      <w:pPr>
        <w:pStyle w:val="ListBullet"/>
        <w:spacing w:after="80"/>
        <w:ind w:left="360"/>
      </w:pPr>
      <w:r>
        <w:t>Pillar 4 — Caregiver Safety Net: Provide automated escalation alerts and a shared medication schedule view for family caregivers to monitor dose compliance remotely.</w:t>
      </w:r>
    </w:p>
    <w:p>
      <w:pPr>
        <w:spacing w:after="120"/>
      </w:pPr>
      <w:r>
        <w:rPr>
          <w:b w:val="0"/>
          <w:i/>
          <w:sz w:val="22"/>
        </w:rPr>
        <w:t>[Figure 5.2 — Ideation Canvas — Four Core Pillars of MediSathi AI]</w:t>
      </w:r>
    </w:p>
    <w:p>
      <w:pPr>
        <w:pStyle w:val="Heading2"/>
        <w:spacing w:before="280" w:after="80"/>
      </w:pPr>
      <w:r>
        <w:t>5.3 Empathy Canvas</w:t>
      </w:r>
    </w:p>
    <w:p>
      <w:pPr>
        <w:spacing w:after="120"/>
      </w:pPr>
      <w:r>
        <w:rPr>
          <w:b w:val="0"/>
          <w:i w:val="0"/>
          <w:sz w:val="22"/>
        </w:rPr>
        <w:t>The Empathy Map was constructed from interviews with elderly patients and caregivers, mapping their thoughts, feelings, behaviors, and needs:</w:t>
      </w:r>
    </w:p>
    <w:p>
      <w:pPr>
        <w:spacing w:after="120"/>
      </w:pPr>
      <w:r>
        <w:rPr>
          <w:b/>
          <w:i w:val="0"/>
          <w:sz w:val="22"/>
        </w:rPr>
        <w:t>Primary Persona — Ramesh Patel, 68, Diabetes + Hypertension Patient:</w:t>
      </w:r>
    </w:p>
    <w:p>
      <w:pPr>
        <w:pStyle w:val="ListBullet"/>
        <w:spacing w:after="80"/>
        <w:ind w:left="360"/>
      </w:pPr>
      <w:r>
        <w:t>Thinks: 'I cannot read my doctor's writing. My children are busy at work.'</w:t>
      </w:r>
    </w:p>
    <w:p>
      <w:pPr>
        <w:pStyle w:val="ListBullet"/>
        <w:spacing w:after="80"/>
        <w:ind w:left="360"/>
      </w:pPr>
      <w:r>
        <w:t>Feels: Anxious about missing doses; embarrassed to keep asking for help.</w:t>
      </w:r>
    </w:p>
    <w:p>
      <w:pPr>
        <w:pStyle w:val="ListBullet"/>
        <w:spacing w:after="80"/>
        <w:ind w:left="360"/>
      </w:pPr>
      <w:r>
        <w:t>Does: Keeps pills in a small box; depends on his wife to remind him; sometimes skips a dose if no one reminds him.</w:t>
      </w:r>
    </w:p>
    <w:p>
      <w:pPr>
        <w:pStyle w:val="ListBullet"/>
        <w:spacing w:after="80"/>
        <w:ind w:left="360"/>
      </w:pPr>
      <w:r>
        <w:t>Needs: A simple, one-tap interface that tells him what to take and speaks to him in Gujarati at the right time.</w:t>
      </w:r>
    </w:p>
    <w:p>
      <w:pPr>
        <w:spacing w:after="120"/>
      </w:pPr>
      <w:r>
        <w:rPr>
          <w:b/>
          <w:i w:val="0"/>
          <w:sz w:val="22"/>
        </w:rPr>
        <w:t>Secondary Persona — Priya Sharma, 38, Daughter-Caregiver:</w:t>
      </w:r>
    </w:p>
    <w:p>
      <w:pPr>
        <w:pStyle w:val="ListBullet"/>
        <w:spacing w:after="80"/>
        <w:ind w:left="360"/>
      </w:pPr>
      <w:r>
        <w:t>Thinks: 'I worry about whether my father has taken his tablets when I am at the office.'</w:t>
      </w:r>
    </w:p>
    <w:p>
      <w:pPr>
        <w:pStyle w:val="ListBullet"/>
        <w:spacing w:after="80"/>
        <w:ind w:left="360"/>
      </w:pPr>
      <w:r>
        <w:t>Feels: Guilty about not being physically present; anxious when father's stock runs low unnoticed.</w:t>
      </w:r>
    </w:p>
    <w:p>
      <w:pPr>
        <w:pStyle w:val="ListBullet"/>
        <w:spacing w:after="80"/>
        <w:ind w:left="360"/>
      </w:pPr>
      <w:r>
        <w:t>Needs: Real-time dose confirmation visibility and automatic low-stock alerts sent to her phone.</w:t>
      </w:r>
    </w:p>
    <w:p>
      <w:pPr>
        <w:spacing w:after="120"/>
      </w:pPr>
      <w:r>
        <w:rPr>
          <w:b w:val="0"/>
          <w:i/>
          <w:sz w:val="22"/>
        </w:rPr>
        <w:t>[Figure 5.3 — Empathy Map Canvas for Primary and Secondary User Personas]</w:t>
      </w:r>
    </w:p>
    <w:p>
      <w:pPr>
        <w:pStyle w:val="Heading2"/>
        <w:spacing w:before="280" w:after="80"/>
      </w:pPr>
      <w:r>
        <w:t>5.4 Product Development Canvas</w:t>
      </w:r>
    </w:p>
    <w:p>
      <w:pPr>
        <w:spacing w:after="120"/>
      </w:pPr>
      <w:r>
        <w:rPr>
          <w:b w:val="0"/>
          <w:i w:val="0"/>
          <w:sz w:val="22"/>
        </w:rPr>
        <w:t>The Product Development Canvas maps the full end-to-end product strategy across seven dimensions:</w:t>
      </w:r>
    </w:p>
    <w:p>
      <w:pPr>
        <w:pStyle w:val="ListBullet"/>
        <w:spacing w:after="80"/>
        <w:ind w:left="360"/>
      </w:pPr>
      <w:r>
        <w:t>Value Proposition: Software-only AI medical companion that replaces ₹12,000–₹40,000 hardware dispensers with a free PWA; delivers voice-first, regional-language reminders.</w:t>
      </w:r>
    </w:p>
    <w:p>
      <w:pPr>
        <w:pStyle w:val="ListBullet"/>
        <w:spacing w:after="80"/>
        <w:ind w:left="360"/>
      </w:pPr>
      <w:r>
        <w:t>Customer Segments: Elderly chronic patients (60+) in Tier 1–3 Indian cities; family caregivers managing prescriptions remotely.</w:t>
      </w:r>
    </w:p>
    <w:p>
      <w:pPr>
        <w:pStyle w:val="ListBullet"/>
        <w:spacing w:after="80"/>
        <w:ind w:left="360"/>
      </w:pPr>
      <w:r>
        <w:t>Key Features: Prescription OCR, Dynamic Voice Scheduling, Supply Tracker, Visual Pill Scanner.</w:t>
      </w:r>
    </w:p>
    <w:p>
      <w:pPr>
        <w:pStyle w:val="ListBullet"/>
        <w:spacing w:after="80"/>
        <w:ind w:left="360"/>
      </w:pPr>
      <w:r>
        <w:t>Key Technologies: Google Gemini 2.5 Flash multimodal AI, FastAPI + SQLite backend, React + Vite PWA frontend.</w:t>
      </w:r>
    </w:p>
    <w:p>
      <w:pPr>
        <w:pStyle w:val="ListBullet"/>
        <w:spacing w:after="80"/>
        <w:ind w:left="360"/>
      </w:pPr>
      <w:r>
        <w:t>Channels: Vercel-hosted PWA (no app store needed); WhatsApp/SMS caregiver alerts (Phase 2).</w:t>
      </w:r>
    </w:p>
    <w:p>
      <w:pPr>
        <w:pStyle w:val="ListBullet"/>
        <w:spacing w:after="80"/>
        <w:ind w:left="360"/>
      </w:pPr>
      <w:r>
        <w:t>Revenue Model (Future): Freemium — basic features free; premium tier includes caregiver dashboard, e-pharmacy integration, and EHR export.</w:t>
      </w:r>
    </w:p>
    <w:p>
      <w:pPr>
        <w:pStyle w:val="ListBullet"/>
        <w:spacing w:after="80"/>
        <w:ind w:left="360"/>
      </w:pPr>
      <w:r>
        <w:t>SDG Impact: SDG 3 — reducing avoidable hospital readmissions; SDG 10 — extending healthcare access to low-literacy and elderly populations.</w:t>
      </w:r>
    </w:p>
    <w:p>
      <w:pPr>
        <w:spacing w:after="120"/>
      </w:pPr>
      <w:r>
        <w:rPr>
          <w:b w:val="0"/>
          <w:i/>
          <w:sz w:val="22"/>
        </w:rPr>
        <w:t>[Figure 5.4 — Product Development Canvas]</w:t>
      </w:r>
    </w:p>
    <w:p>
      <w:r>
        <w:br w:type="page"/>
      </w:r>
    </w:p>
    <w:p>
      <w:pPr>
        <w:pStyle w:val="Heading1"/>
        <w:spacing w:before="280" w:after="80"/>
      </w:pPr>
      <w:r>
        <w:rPr>
          <w:color w:val="1A568C"/>
        </w:rPr>
        <w:t>CHAPTER 6: LIMITATION AND FUTURE ENHANCEMENT</w:t>
      </w:r>
    </w:p>
    <w:p>
      <w:pPr>
        <w:spacing w:after="120"/>
      </w:pPr>
      <w:r>
        <w:rPr>
          <w:b/>
          <w:i w:val="0"/>
          <w:sz w:val="22"/>
        </w:rPr>
        <w:t>Limitations of the Current Prototype:</w:t>
      </w:r>
    </w:p>
    <w:p>
      <w:pPr>
        <w:pStyle w:val="ListBullet"/>
        <w:spacing w:after="80"/>
        <w:ind w:left="360"/>
      </w:pPr>
      <w:r>
        <w:t>Database Volatility on Serverless Deployment: The Vercel serverless environment uses an ephemeral /tmp/ SQLite database that resets on cold starts. Production deployments should migrate to a persistent database (PostgreSQL via Supabase or Firebase Firestore).</w:t>
      </w:r>
    </w:p>
    <w:p>
      <w:pPr>
        <w:pStyle w:val="ListBullet"/>
        <w:spacing w:after="80"/>
        <w:ind w:left="360"/>
      </w:pPr>
      <w:r>
        <w:t>Offline AI Constraints: OCR prescription parsing and visual pill scanning require an active internet connection to reach the Gemini API. Voice reminders and the medication schedule work offline, but AI features degrade without connectivity.</w:t>
      </w:r>
    </w:p>
    <w:p>
      <w:pPr>
        <w:pStyle w:val="ListBullet"/>
        <w:spacing w:after="80"/>
        <w:ind w:left="360"/>
      </w:pPr>
      <w:r>
        <w:t>No Real-Time Caregiver Push Notifications: The current prototype does not implement server-side push notifications to caregiver devices. Missed dose escalation alerts are displayed on-screen only.</w:t>
      </w:r>
    </w:p>
    <w:p>
      <w:pPr>
        <w:pStyle w:val="ListBullet"/>
        <w:spacing w:after="80"/>
        <w:ind w:left="360"/>
      </w:pPr>
      <w:r>
        <w:t>OCR Accuracy on Extreme Handwriting: While Gemini 2.5 Flash achieves high accuracy on standard handwriting, very unusual scripts or heavily faded prescriptions may require manual correction.</w:t>
      </w:r>
    </w:p>
    <w:p>
      <w:pPr>
        <w:pStyle w:val="ListBullet"/>
        <w:spacing w:after="80"/>
        <w:ind w:left="360"/>
      </w:pPr>
      <w:r>
        <w:t>Single-User Design: The current iteration manages a single patient profile. Multi-patient household management (e.g., a caregiver managing two elderly parents) is not yet implemented.</w:t>
      </w:r>
    </w:p>
    <w:p>
      <w:pPr>
        <w:spacing w:after="120"/>
      </w:pPr>
      <w:r>
        <w:rPr>
          <w:b/>
          <w:i w:val="0"/>
          <w:sz w:val="22"/>
        </w:rPr>
        <w:t>Future Enhancement Roadmap:</w:t>
      </w:r>
    </w:p>
    <w:p>
      <w:pPr>
        <w:pStyle w:val="ListNumber"/>
        <w:spacing w:after="80"/>
        <w:ind w:left="360"/>
      </w:pPr>
      <w:r>
        <w:t>Phase 1 (Months 1–3) — Smart Wearable Integration: Sync dose alerts with smartwatches (Apple Watch, WearOS, Noise/Boat) for haptic wrist vibration reminders, reducing dependence on smartphone attention.</w:t>
      </w:r>
    </w:p>
    <w:p>
      <w:pPr>
        <w:pStyle w:val="ListNumber"/>
        <w:spacing w:after="80"/>
        <w:ind w:left="360"/>
      </w:pPr>
      <w:r>
        <w:t>Phase 2 (Months 4–6) — E-Pharmacy Auto-Refill Integration: Direct API integration with Netmeds, Tata 1mg, and local pharmacies for 1-click medicine re-ordering when stock drops to 20%. Eliminate the pharmacy trip entirely.</w:t>
      </w:r>
    </w:p>
    <w:p>
      <w:pPr>
        <w:pStyle w:val="ListNumber"/>
        <w:spacing w:after="80"/>
        <w:ind w:left="360"/>
      </w:pPr>
      <w:r>
        <w:t>Phase 3 (Months 7–9) — AI Drug Interaction Engine: Real-time safety checks that warn users if a newly scanned or added medication creates a contraindication conflict with their existing active medication list.</w:t>
      </w:r>
    </w:p>
    <w:p>
      <w:pPr>
        <w:pStyle w:val="ListNumber"/>
        <w:spacing w:after="80"/>
        <w:ind w:left="360"/>
      </w:pPr>
      <w:r>
        <w:t>Phase 4 (Months 10–12) — Doctor Dashboard &amp; EHR Sync: Generate PDF adherence compliance reports automatically shareable with treating physicians during follow-up visits. Enable two-way prescription updates from the doctor portal.</w:t>
      </w:r>
    </w:p>
    <w:p>
      <w:pPr>
        <w:pStyle w:val="ListNumber"/>
        <w:spacing w:after="80"/>
        <w:ind w:left="360"/>
      </w:pPr>
      <w:r>
        <w:t>Phase 5 (Long-Term) — Multi-Language Expansion &amp; WhatsApp Integration: Extend regional voice support to Tamil, Telugu, Marathi, and Bengali. Deliver dose reminders and caregiver alerts directly via WhatsApp Business API.</w:t>
      </w:r>
    </w:p>
    <w:p>
      <w:r>
        <w:br w:type="page"/>
      </w:r>
    </w:p>
    <w:p>
      <w:pPr>
        <w:pStyle w:val="Heading1"/>
        <w:spacing w:before="280" w:after="80"/>
      </w:pPr>
      <w:r>
        <w:rPr>
          <w:color w:val="1A568C"/>
        </w:rPr>
        <w:t>CHAPTER 7: CONCLUSION</w:t>
      </w:r>
    </w:p>
    <w:p>
      <w:pPr>
        <w:spacing w:after="120"/>
      </w:pPr>
      <w:r>
        <w:rPr>
          <w:b w:val="0"/>
          <w:i w:val="0"/>
          <w:sz w:val="22"/>
        </w:rPr>
        <w:t>MediSathi AI successfully demonstrates that a well-designed, AI-native software solution can replace expensive medical hardware and deliver meaningful, empathetic healthcare support to India's most underserved patient demographic: the elderly chronic-illness patient and their overextended caregivers.</w:t>
      </w:r>
    </w:p>
    <w:p>
      <w:pPr>
        <w:spacing w:after="120"/>
      </w:pPr>
      <w:r>
        <w:rPr>
          <w:b w:val="0"/>
          <w:i w:val="0"/>
          <w:sz w:val="22"/>
        </w:rPr>
        <w:t>By applying the Design Thinking methodology — beginning with deep AEIOU field observation, progressing through structured ideation, empathy mapping, and product canvas development — the team identified root causes that go beyond simple forgetfulness. The fundamental problem is one of inaccessibility: inaccessible prescription information (illegible handwriting), inaccessible reminders (English text on small screens), and inaccessible healthcare costs (₹12,000–₹40,000 hardware dispensers).</w:t>
      </w:r>
    </w:p>
    <w:p>
      <w:pPr>
        <w:spacing w:after="120"/>
      </w:pPr>
      <w:r>
        <w:rPr>
          <w:b w:val="0"/>
          <w:i w:val="0"/>
          <w:sz w:val="22"/>
        </w:rPr>
        <w:t>MediSathi AI's four-feature architecture — Prescription OCR, Dynamic Regional Voice Scheduling, Supply Tracking with Second Course Alerts, and Visual Pill Scanner — directly dismantles each of these accessibility barriers using open, scalable AI technology at near-zero marginal cost per user.</w:t>
      </w:r>
    </w:p>
    <w:p>
      <w:pPr>
        <w:spacing w:after="120"/>
      </w:pPr>
      <w:r>
        <w:rPr>
          <w:b w:val="0"/>
          <w:i w:val="0"/>
          <w:sz w:val="22"/>
        </w:rPr>
        <w:t>The prototype was built and fully validated as a functional Progressive Web App, achieving successful prescription parsing on real handwritten prescriptions, regional voice output in three languages, real-time supply tracking, and AI-powered pill identification. All backend APIs were verified via automated tests with 5/5 passing.</w:t>
      </w:r>
    </w:p>
    <w:p>
      <w:pPr>
        <w:spacing w:after="120"/>
      </w:pPr>
      <w:r>
        <w:rPr>
          <w:b w:val="0"/>
          <w:i w:val="0"/>
          <w:sz w:val="22"/>
        </w:rPr>
        <w:t>MediSathi AI directly contributes to SDG Goal 3 (Good Health &amp; Well-Being) by reducing medication non-adherence and preventable hospital readmissions, and to SDG Goal 10 (Reduced Inequalities) by extending sophisticated healthcare technology to elderly, low-literacy, and visually impaired users through a voice-first, regional-language, accessible design.</w:t>
      </w:r>
    </w:p>
    <w:p>
      <w:pPr>
        <w:spacing w:after="120"/>
      </w:pPr>
      <w:r>
        <w:rPr>
          <w:b w:val="0"/>
          <w:i w:val="0"/>
          <w:sz w:val="22"/>
        </w:rPr>
        <w:t>This project establishes a strong technical and human-centric foundation. The defined roadmap through five development phases — from wearable integration to doctor EHR sync — outlines a credible path from academic prototype to a product capable of meaningful, scalable impact across Indian healthcare.</w:t>
      </w:r>
    </w:p>
    <w:p>
      <w:r>
        <w:br w:type="page"/>
      </w:r>
    </w:p>
    <w:p>
      <w:pPr>
        <w:pStyle w:val="Heading1"/>
        <w:spacing w:before="280" w:after="80"/>
      </w:pPr>
      <w:r>
        <w:rPr>
          <w:color w:val="1A568C"/>
        </w:rPr>
        <w:t>REFERENCES</w:t>
      </w:r>
    </w:p>
    <w:p>
      <w:pPr>
        <w:ind w:left="720" w:hanging="720"/>
      </w:pPr>
      <w:r>
        <w:rPr>
          <w:b/>
        </w:rPr>
        <w:t xml:space="preserve">[1] </w:t>
      </w:r>
      <w:r>
        <w:t>World Health Organization (WHO). "Adherence to Long-Term Therapies: Evidence for Action." WHO Guidelines, 2023. Available: https://www.who.int/chp/knowledge/publications/adherence_report/en/</w:t>
      </w:r>
    </w:p>
    <w:p>
      <w:pPr>
        <w:ind w:left="720" w:hanging="720"/>
      </w:pPr>
      <w:r>
        <w:rPr>
          <w:b/>
        </w:rPr>
        <w:t xml:space="preserve">[2] </w:t>
      </w:r>
      <w:r>
        <w:t>United Nations. "Sustainable Development Goals — Goal 3: Good Health &amp; Well-Being; Goal 10: Reduced Inequalities." UN SDG Framework, 2023. Available: https://sdgs.un.org/goals</w:t>
      </w:r>
    </w:p>
    <w:p>
      <w:pPr>
        <w:ind w:left="720" w:hanging="720"/>
      </w:pPr>
      <w:r>
        <w:rPr>
          <w:b/>
        </w:rPr>
        <w:t xml:space="preserve">[3] </w:t>
      </w:r>
      <w:r>
        <w:t>Journal of Medical Internet Research (JMIR). "Artificial Intelligence Applications in Chronic Disease Management and Prescription Parsing." JMIR, 2024. Available: https://www.jmir.org</w:t>
      </w:r>
    </w:p>
    <w:p>
      <w:pPr>
        <w:ind w:left="720" w:hanging="720"/>
      </w:pPr>
      <w:r>
        <w:rPr>
          <w:b/>
        </w:rPr>
        <w:t xml:space="preserve">[4] </w:t>
      </w:r>
      <w:r>
        <w:t>Google DeepMind / Google AI. "Gemini 2.5 Flash Multimodal API — Technical Documentation." Google AI Studio, 2024. Available: https://aistudio.google.com</w:t>
      </w:r>
    </w:p>
    <w:p>
      <w:pPr>
        <w:ind w:left="720" w:hanging="720"/>
      </w:pPr>
      <w:r>
        <w:rPr>
          <w:b/>
        </w:rPr>
        <w:t xml:space="preserve">[5] </w:t>
      </w:r>
      <w:r>
        <w:t>FastAPI. "FastAPI Documentation — High-performance Python REST API Framework." FastAPI Docs, 2024. Available: https://fastapi.tiangolo.com</w:t>
      </w:r>
    </w:p>
    <w:p>
      <w:pPr>
        <w:ind w:left="720" w:hanging="720"/>
      </w:pPr>
      <w:r>
        <w:rPr>
          <w:b/>
        </w:rPr>
        <w:t xml:space="preserve">[6] </w:t>
      </w:r>
      <w:r>
        <w:t>Vite + React. "Vite Build Tool and React 18 Documentation." Vitejs.dev / React.dev, 2024. Available: https://vitejs.dev</w:t>
      </w:r>
    </w:p>
    <w:p>
      <w:pPr>
        <w:ind w:left="720" w:hanging="720"/>
      </w:pPr>
      <w:r>
        <w:rPr>
          <w:b/>
        </w:rPr>
        <w:t xml:space="preserve">[7] </w:t>
      </w:r>
      <w:r>
        <w:t>Ministry of Statistics &amp; Programme Implementation, India. "Elderly in India — Profile and Programmes 2021." Government of India, 2021. Available: https://mospi.gov.in</w:t>
      </w:r>
    </w:p>
    <w:p>
      <w:r>
        <w:br w:type="page"/>
      </w:r>
    </w:p>
    <w:p>
      <w:pPr>
        <w:pStyle w:val="Heading1"/>
        <w:spacing w:before="280" w:after="80"/>
      </w:pPr>
      <w:r>
        <w:rPr>
          <w:color w:val="1A568C"/>
        </w:rPr>
        <w:t>APPENDIX</w:t>
      </w:r>
    </w:p>
    <w:p>
      <w:pPr>
        <w:spacing w:after="120"/>
      </w:pPr>
      <w:r>
        <w:rPr>
          <w:b/>
          <w:i w:val="0"/>
          <w:sz w:val="22"/>
        </w:rPr>
        <w:t>A. Technology Stack Summary</w:t>
      </w:r>
    </w:p>
    <w:tbl>
      <w:tblPr>
        <w:tblStyle w:val="TableGrid"/>
        <w:tblW w:type="auto" w:w="0"/>
        <w:tblLook w:firstColumn="1" w:firstRow="1" w:lastColumn="0" w:lastRow="0" w:noHBand="0" w:noVBand="1" w:val="04A0"/>
      </w:tblPr>
      <w:tblGrid>
        <w:gridCol w:w="4561"/>
        <w:gridCol w:w="4561"/>
      </w:tblGrid>
      <w:tr>
        <w:tc>
          <w:tcPr>
            <w:tcW w:type="dxa" w:w="4561"/>
            <w:shd w:val="clear" w:color="auto" w:fill="1A568C"/>
          </w:tcPr>
          <w:p>
            <w:r>
              <w:rPr>
                <w:b/>
                <w:color w:val="FFFFFF"/>
              </w:rPr>
              <w:t>Component</w:t>
            </w:r>
          </w:p>
        </w:tc>
        <w:tc>
          <w:tcPr>
            <w:tcW w:type="dxa" w:w="4561"/>
            <w:shd w:val="clear" w:color="auto" w:fill="1A568C"/>
          </w:tcPr>
          <w:p>
            <w:r>
              <w:rPr>
                <w:b/>
                <w:color w:val="FFFFFF"/>
              </w:rPr>
              <w:t>Technology</w:t>
            </w:r>
          </w:p>
        </w:tc>
      </w:tr>
      <w:tr>
        <w:tc>
          <w:tcPr>
            <w:tcW w:type="dxa" w:w="4561"/>
          </w:tcPr>
          <w:p>
            <w:r>
              <w:t>Frontend</w:t>
            </w:r>
          </w:p>
        </w:tc>
        <w:tc>
          <w:tcPr>
            <w:tcW w:type="dxa" w:w="4561"/>
          </w:tcPr>
          <w:p>
            <w:r>
              <w:t>React 18 + Vite + TypeScript + Tailwind CSS</w:t>
            </w:r>
          </w:p>
        </w:tc>
      </w:tr>
      <w:tr>
        <w:tc>
          <w:tcPr>
            <w:tcW w:type="dxa" w:w="4561"/>
          </w:tcPr>
          <w:p>
            <w:r>
              <w:t>Backend</w:t>
            </w:r>
          </w:p>
        </w:tc>
        <w:tc>
          <w:tcPr>
            <w:tcW w:type="dxa" w:w="4561"/>
          </w:tcPr>
          <w:p>
            <w:r>
              <w:t>Python 3.11 + FastAPI + SQLAlchemy + SQLite</w:t>
            </w:r>
          </w:p>
        </w:tc>
      </w:tr>
      <w:tr>
        <w:tc>
          <w:tcPr>
            <w:tcW w:type="dxa" w:w="4561"/>
          </w:tcPr>
          <w:p>
            <w:r>
              <w:t>AI Model</w:t>
            </w:r>
          </w:p>
        </w:tc>
        <w:tc>
          <w:tcPr>
            <w:tcW w:type="dxa" w:w="4561"/>
          </w:tcPr>
          <w:p>
            <w:r>
              <w:t>Google Gemini 2.5 Flash (google-genai SDK)</w:t>
            </w:r>
          </w:p>
        </w:tc>
      </w:tr>
      <w:tr>
        <w:tc>
          <w:tcPr>
            <w:tcW w:type="dxa" w:w="4561"/>
          </w:tcPr>
          <w:p>
            <w:r>
              <w:t>Voice</w:t>
            </w:r>
          </w:p>
        </w:tc>
        <w:tc>
          <w:tcPr>
            <w:tcW w:type="dxa" w:w="4561"/>
          </w:tcPr>
          <w:p>
            <w:r>
              <w:t>Web Speech API (SpeechSynthesisUtterance)</w:t>
            </w:r>
          </w:p>
        </w:tc>
      </w:tr>
      <w:tr>
        <w:tc>
          <w:tcPr>
            <w:tcW w:type="dxa" w:w="4561"/>
          </w:tcPr>
          <w:p>
            <w:r>
              <w:t>PWA</w:t>
            </w:r>
          </w:p>
        </w:tc>
        <w:tc>
          <w:tcPr>
            <w:tcW w:type="dxa" w:w="4561"/>
          </w:tcPr>
          <w:p>
            <w:r>
              <w:t>Vite PWA Plugin + Service Worker + Web Manifest</w:t>
            </w:r>
          </w:p>
        </w:tc>
      </w:tr>
      <w:tr>
        <w:tc>
          <w:tcPr>
            <w:tcW w:type="dxa" w:w="4561"/>
          </w:tcPr>
          <w:p>
            <w:r>
              <w:t>Deployment</w:t>
            </w:r>
          </w:p>
        </w:tc>
        <w:tc>
          <w:tcPr>
            <w:tcW w:type="dxa" w:w="4561"/>
          </w:tcPr>
          <w:p>
            <w:r>
              <w:t>Vercel (Static CDN + Python Serverless Functions)</w:t>
            </w:r>
          </w:p>
        </w:tc>
      </w:tr>
      <w:tr>
        <w:tc>
          <w:tcPr>
            <w:tcW w:type="dxa" w:w="4561"/>
          </w:tcPr>
          <w:p>
            <w:r>
              <w:t>Version Control</w:t>
            </w:r>
          </w:p>
        </w:tc>
        <w:tc>
          <w:tcPr>
            <w:tcW w:type="dxa" w:w="4561"/>
          </w:tcPr>
          <w:p>
            <w:r>
              <w:t>Git + GitHub (https://github.com/Roshancommits/medisathiai)</w:t>
            </w:r>
          </w:p>
        </w:tc>
      </w:tr>
    </w:tbl>
    <w:p/>
    <w:p>
      <w:pPr>
        <w:spacing w:after="120"/>
      </w:pPr>
      <w:r>
        <w:rPr>
          <w:b/>
          <w:i w:val="0"/>
          <w:sz w:val="22"/>
        </w:rPr>
        <w:t>B. GitHub Repository</w:t>
      </w:r>
    </w:p>
    <w:p>
      <w:pPr>
        <w:spacing w:after="120"/>
      </w:pPr>
      <w:r>
        <w:rPr>
          <w:b w:val="0"/>
          <w:i w:val="0"/>
          <w:sz w:val="22"/>
        </w:rPr>
        <w:t>Repository URL: https://github.com/Roshancommits/medisathiai</w:t>
      </w:r>
    </w:p>
    <w:p>
      <w:pPr>
        <w:spacing w:after="120"/>
      </w:pPr>
      <w:r>
        <w:rPr>
          <w:b w:val="0"/>
          <w:i w:val="0"/>
          <w:sz w:val="22"/>
        </w:rPr>
        <w:t>Branch: main | License: Private Academic Project | Deployment: Vercel</w:t>
      </w:r>
    </w:p>
    <w:p/>
    <w:p>
      <w:pPr>
        <w:spacing w:after="120"/>
      </w:pPr>
      <w:r>
        <w:rPr>
          <w:b/>
          <w:i w:val="0"/>
          <w:sz w:val="22"/>
        </w:rPr>
        <w:t>C. API Endpoint Reference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68C"/>
          </w:tcPr>
          <w:p>
            <w:r>
              <w:rPr>
                <w:b/>
                <w:color w:val="FFFFFF"/>
              </w:rPr>
              <w:t>Endpoint</w:t>
            </w:r>
          </w:p>
        </w:tc>
        <w:tc>
          <w:tcPr>
            <w:tcW w:type="dxa" w:w="3041"/>
            <w:shd w:val="clear" w:color="auto" w:fill="1A568C"/>
          </w:tcPr>
          <w:p>
            <w:r>
              <w:rPr>
                <w:b/>
                <w:color w:val="FFFFFF"/>
              </w:rPr>
              <w:t>Method</w:t>
            </w:r>
          </w:p>
        </w:tc>
        <w:tc>
          <w:tcPr>
            <w:tcW w:type="dxa" w:w="3041"/>
            <w:shd w:val="clear" w:color="auto" w:fill="1A568C"/>
          </w:tcPr>
          <w:p>
            <w:r>
              <w:rPr>
                <w:b/>
                <w:color w:val="FFFFFF"/>
              </w:rPr>
              <w:t>Function</w:t>
            </w:r>
          </w:p>
        </w:tc>
      </w:tr>
      <w:tr>
        <w:tc>
          <w:tcPr>
            <w:tcW w:type="dxa" w:w="3041"/>
          </w:tcPr>
          <w:p>
            <w:r>
              <w:rPr>
                <w:sz w:val="19"/>
              </w:rPr>
              <w:t>/api/health</w:t>
            </w:r>
          </w:p>
        </w:tc>
        <w:tc>
          <w:tcPr>
            <w:tcW w:type="dxa" w:w="3041"/>
          </w:tcPr>
          <w:p>
            <w:r>
              <w:rPr>
                <w:sz w:val="19"/>
              </w:rPr>
              <w:t>GET</w:t>
            </w:r>
          </w:p>
        </w:tc>
        <w:tc>
          <w:tcPr>
            <w:tcW w:type="dxa" w:w="3041"/>
          </w:tcPr>
          <w:p>
            <w:r>
              <w:rPr>
                <w:sz w:val="19"/>
              </w:rPr>
              <w:t>Health check</w:t>
            </w:r>
          </w:p>
        </w:tc>
      </w:tr>
      <w:tr>
        <w:tc>
          <w:tcPr>
            <w:tcW w:type="dxa" w:w="3041"/>
          </w:tcPr>
          <w:p>
            <w:r>
              <w:rPr>
                <w:sz w:val="19"/>
              </w:rPr>
              <w:t>/api/medications</w:t>
            </w:r>
          </w:p>
        </w:tc>
        <w:tc>
          <w:tcPr>
            <w:tcW w:type="dxa" w:w="3041"/>
          </w:tcPr>
          <w:p>
            <w:r>
              <w:rPr>
                <w:sz w:val="19"/>
              </w:rPr>
              <w:t>GET</w:t>
            </w:r>
          </w:p>
        </w:tc>
        <w:tc>
          <w:tcPr>
            <w:tcW w:type="dxa" w:w="3041"/>
          </w:tcPr>
          <w:p>
            <w:r>
              <w:rPr>
                <w:sz w:val="19"/>
              </w:rPr>
              <w:t>List all medications</w:t>
            </w:r>
          </w:p>
        </w:tc>
      </w:tr>
      <w:tr>
        <w:tc>
          <w:tcPr>
            <w:tcW w:type="dxa" w:w="3041"/>
          </w:tcPr>
          <w:p>
            <w:r>
              <w:rPr>
                <w:sz w:val="19"/>
              </w:rPr>
              <w:t>/api/medications</w:t>
            </w:r>
          </w:p>
        </w:tc>
        <w:tc>
          <w:tcPr>
            <w:tcW w:type="dxa" w:w="3041"/>
          </w:tcPr>
          <w:p>
            <w:r>
              <w:rPr>
                <w:sz w:val="19"/>
              </w:rPr>
              <w:t>POST</w:t>
            </w:r>
          </w:p>
        </w:tc>
        <w:tc>
          <w:tcPr>
            <w:tcW w:type="dxa" w:w="3041"/>
          </w:tcPr>
          <w:p>
            <w:r>
              <w:rPr>
                <w:sz w:val="19"/>
              </w:rPr>
              <w:t>Add a medication</w:t>
            </w:r>
          </w:p>
        </w:tc>
      </w:tr>
      <w:tr>
        <w:tc>
          <w:tcPr>
            <w:tcW w:type="dxa" w:w="3041"/>
          </w:tcPr>
          <w:p>
            <w:r>
              <w:rPr>
                <w:sz w:val="19"/>
              </w:rPr>
              <w:t>/api/medications/{id}/take</w:t>
            </w:r>
          </w:p>
        </w:tc>
        <w:tc>
          <w:tcPr>
            <w:tcW w:type="dxa" w:w="3041"/>
          </w:tcPr>
          <w:p>
            <w:r>
              <w:rPr>
                <w:sz w:val="19"/>
              </w:rPr>
              <w:t>POST</w:t>
            </w:r>
          </w:p>
        </w:tc>
        <w:tc>
          <w:tcPr>
            <w:tcW w:type="dxa" w:w="3041"/>
          </w:tcPr>
          <w:p>
            <w:r>
              <w:rPr>
                <w:sz w:val="19"/>
              </w:rPr>
              <w:t>Record dose taken</w:t>
            </w:r>
          </w:p>
        </w:tc>
      </w:tr>
      <w:tr>
        <w:tc>
          <w:tcPr>
            <w:tcW w:type="dxa" w:w="3041"/>
          </w:tcPr>
          <w:p>
            <w:r>
              <w:rPr>
                <w:sz w:val="19"/>
              </w:rPr>
              <w:t>/api/scan-rx</w:t>
            </w:r>
          </w:p>
        </w:tc>
        <w:tc>
          <w:tcPr>
            <w:tcW w:type="dxa" w:w="3041"/>
          </w:tcPr>
          <w:p>
            <w:r>
              <w:rPr>
                <w:sz w:val="19"/>
              </w:rPr>
              <w:t>POST</w:t>
            </w:r>
          </w:p>
        </w:tc>
        <w:tc>
          <w:tcPr>
            <w:tcW w:type="dxa" w:w="3041"/>
          </w:tcPr>
          <w:p>
            <w:r>
              <w:rPr>
                <w:sz w:val="19"/>
              </w:rPr>
              <w:t>Upload &amp; parse prescription (OCR)</w:t>
            </w:r>
          </w:p>
        </w:tc>
      </w:tr>
      <w:tr>
        <w:tc>
          <w:tcPr>
            <w:tcW w:type="dxa" w:w="3041"/>
          </w:tcPr>
          <w:p>
            <w:r>
              <w:rPr>
                <w:sz w:val="19"/>
              </w:rPr>
              <w:t>/api/scan-pill</w:t>
            </w:r>
          </w:p>
        </w:tc>
        <w:tc>
          <w:tcPr>
            <w:tcW w:type="dxa" w:w="3041"/>
          </w:tcPr>
          <w:p>
            <w:r>
              <w:rPr>
                <w:sz w:val="19"/>
              </w:rPr>
              <w:t>POST</w:t>
            </w:r>
          </w:p>
        </w:tc>
        <w:tc>
          <w:tcPr>
            <w:tcW w:type="dxa" w:w="3041"/>
          </w:tcPr>
          <w:p>
            <w:r>
              <w:rPr>
                <w:sz w:val="19"/>
              </w:rPr>
              <w:t>Upload &amp; identify pill (Visual AI)</w:t>
            </w:r>
          </w:p>
        </w:tc>
      </w:tr>
      <w:tr>
        <w:tc>
          <w:tcPr>
            <w:tcW w:type="dxa" w:w="3041"/>
          </w:tcPr>
          <w:p>
            <w:r>
              <w:rPr>
                <w:sz w:val="19"/>
              </w:rPr>
              <w:t>/api/schedule</w:t>
            </w:r>
          </w:p>
        </w:tc>
        <w:tc>
          <w:tcPr>
            <w:tcW w:type="dxa" w:w="3041"/>
          </w:tcPr>
          <w:p>
            <w:r>
              <w:rPr>
                <w:sz w:val="19"/>
              </w:rPr>
              <w:t>GET</w:t>
            </w:r>
          </w:p>
        </w:tc>
        <w:tc>
          <w:tcPr>
            <w:tcW w:type="dxa" w:w="3041"/>
          </w:tcPr>
          <w:p>
            <w:r>
              <w:rPr>
                <w:sz w:val="19"/>
              </w:rPr>
              <w:t>Get today's medication schedule</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