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Иванов Иван 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 с.Самашки</w:t>
      </w:r>
      <w:r>
        <w:t xml:space="preserve">  </w:t>
      </w:r>
    </w:p>
    <w:p>
      <w:r>
        <w:rPr>
          <w:b w:val="true"/>
          <w:bCs w:val="true"/>
        </w:rPr>
        <w:t xml:space="preserve">Район: Ачхой-Мартановский район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эффективно используете дифференцированное обучение, в том числе дает разноуровневые домашние задания, опираясь на индивидуальные достижения ученика.
2)	Вы ведете мониторинг учебных достижений учащихся по результатам диагностических и контрольных работ.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Выбранные Вами формы общения не всегда эффективны и педагогически целесообразны. В ходе индивидуального общения с учеником иногда допускаете психолого-педагогические ошибки. 
2)	Формы учебного взаимодействия на уроке однообразны. Позволяете учащимся помогать друг другу изредка, по ситуации.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2020-11-03T11:44:47Z</dcterms:created>
  <dcterms:modified xsi:type="dcterms:W3CDTF">2020-11-03T11:44:47Z</dcterms:modified>
</cp:coreProperties>
</file>