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Test Plan</w:t>
      </w:r>
    </w:p>
    <w:p>
      <w:r>
        <w:rPr>
          <w:color w:val="6B7280"/>
          <w:sz w:val="24"/>
        </w:rPr>
        <w:t>Job application workflow: HireKiwi QA Engineer assessment</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2448"/>
        <w:gridCol w:w="7344"/>
      </w:tblGrid>
      <w:tr>
        <w:trPr>
          <w:cantSplit/>
        </w:trPr>
        <w:tc>
          <w:tcPr>
            <w:tcW w:type="dxa" w:w="2448"/>
            <w:shd w:val="clear" w:color="auto" w:fill="EEF2F7"/>
          </w:tcPr>
          <w:p>
            <w:pPr>
              <w:keepNext/>
              <w:spacing w:after="20"/>
            </w:pPr>
            <w:r/>
            <w:r>
              <w:rPr>
                <w:b/>
                <w:sz w:val="19"/>
              </w:rPr>
              <w:t>Document</w:t>
            </w:r>
          </w:p>
        </w:tc>
        <w:tc>
          <w:tcPr>
            <w:tcW w:type="dxa" w:w="7344"/>
          </w:tcPr>
          <w:p>
            <w:pPr>
              <w:keepNext/>
              <w:spacing w:after="20"/>
            </w:pPr>
            <w:r/>
            <w:r>
              <w:rPr>
                <w:b w:val="0"/>
                <w:sz w:val="19"/>
              </w:rPr>
              <w:t>Test plan with prioritised scenarios</w:t>
            </w:r>
          </w:p>
        </w:tc>
      </w:tr>
      <w:tr>
        <w:trPr>
          <w:cantSplit/>
        </w:trPr>
        <w:tc>
          <w:tcPr>
            <w:tcW w:type="dxa" w:w="2448"/>
            <w:shd w:val="clear" w:color="auto" w:fill="EEF2F7"/>
          </w:tcPr>
          <w:p>
            <w:pPr>
              <w:keepNext/>
              <w:spacing w:after="20"/>
            </w:pPr>
            <w:r/>
            <w:r>
              <w:rPr>
                <w:b/>
                <w:sz w:val="19"/>
              </w:rPr>
              <w:t>Date</w:t>
            </w:r>
          </w:p>
        </w:tc>
        <w:tc>
          <w:tcPr>
            <w:tcW w:type="dxa" w:w="7344"/>
          </w:tcPr>
          <w:p>
            <w:pPr>
              <w:keepNext/>
              <w:spacing w:after="20"/>
            </w:pPr>
            <w:r/>
            <w:r>
              <w:rPr>
                <w:b w:val="0"/>
                <w:sz w:val="19"/>
              </w:rPr>
              <w:t>13 October 2026</w:t>
            </w:r>
          </w:p>
        </w:tc>
      </w:tr>
      <w:tr>
        <w:trPr>
          <w:cantSplit/>
        </w:trPr>
        <w:tc>
          <w:tcPr>
            <w:tcW w:type="dxa" w:w="2448"/>
            <w:shd w:val="clear" w:color="auto" w:fill="EEF2F7"/>
          </w:tcPr>
          <w:p>
            <w:pPr>
              <w:keepNext/>
              <w:spacing w:after="20"/>
            </w:pPr>
            <w:r/>
            <w:r>
              <w:rPr>
                <w:b/>
                <w:sz w:val="19"/>
              </w:rPr>
              <w:t>Systems under test</w:t>
            </w:r>
          </w:p>
        </w:tc>
        <w:tc>
          <w:tcPr>
            <w:tcW w:type="dxa" w:w="7344"/>
          </w:tcPr>
          <w:p>
            <w:pPr>
              <w:keepNext/>
              <w:spacing w:after="20"/>
            </w:pPr>
            <w:r/>
            <w:r>
              <w:rPr>
                <w:b w:val="0"/>
                <w:sz w:val="19"/>
              </w:rPr>
              <w:t>1. Live portal https://crew.tinobritty.me/jobs (read-only exploratory testing)</w:t>
            </w:r>
          </w:p>
          <w:p>
            <w:pPr>
              <w:keepNext/>
              <w:spacing w:after="20"/>
            </w:pPr>
            <w:r>
              <w:rPr>
                <w:b w:val="0"/>
                <w:sz w:val="19"/>
              </w:rPr>
              <w:t>2. Local mock application form in mock-app/ (all tests that submit data)</w:t>
            </w:r>
          </w:p>
        </w:tc>
      </w:tr>
      <w:tr>
        <w:trPr>
          <w:cantSplit/>
        </w:trPr>
        <w:tc>
          <w:tcPr>
            <w:tcW w:type="dxa" w:w="2448"/>
            <w:shd w:val="clear" w:color="auto" w:fill="EEF2F7"/>
          </w:tcPr>
          <w:p>
            <w:pPr>
              <w:spacing w:after="20"/>
            </w:pPr>
            <w:r/>
            <w:r>
              <w:rPr>
                <w:b/>
                <w:sz w:val="19"/>
              </w:rPr>
              <w:t>Tools</w:t>
            </w:r>
          </w:p>
        </w:tc>
        <w:tc>
          <w:tcPr>
            <w:tcW w:type="dxa" w:w="7344"/>
          </w:tcPr>
          <w:p>
            <w:pPr>
              <w:spacing w:after="20"/>
            </w:pPr>
            <w:r/>
            <w:r>
              <w:rPr>
                <w:b w:val="0"/>
                <w:sz w:val="19"/>
              </w:rPr>
              <w:t>Playwright Test 1.56.0, Cucumber 13, Node 22; Chromium, Firefox and WebKit</w:t>
            </w:r>
          </w:p>
        </w:tc>
      </w:tr>
    </w:tbl>
    <w:p>
      <w:pPr>
        <w:pStyle w:val="Heading1"/>
      </w:pPr>
      <w:r>
        <w:t>1. Purpose and scope</w:t>
      </w:r>
    </w:p>
    <w:p>
      <w:r>
        <w:rPr>
          <w:b w:val="0"/>
          <w:i w:val="0"/>
        </w:rPr>
        <w:t>The goal is to check a job application portal where candidates browse jobs, read the requirements and apply. The work finds defects, confirms expected behaviour, and automates the checks that matter most. The six areas from the brief are the scope. In this document they are called R1 to R6.</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720"/>
        <w:gridCol w:w="3744"/>
        <w:gridCol w:w="2448"/>
        <w:gridCol w:w="2880"/>
      </w:tblGrid>
      <w:tr>
        <w:trPr>
          <w:tblHeader w:val="true"/>
          <w:cantSplit/>
        </w:trPr>
        <w:tc>
          <w:tcPr>
            <w:tcW w:type="dxa" w:w="720"/>
            <w:shd w:val="clear" w:color="auto" w:fill="1F3A5F"/>
          </w:tcPr>
          <w:p>
            <w:pPr>
              <w:spacing w:after="20"/>
            </w:pPr>
            <w:r/>
            <w:r>
              <w:rPr>
                <w:b/>
                <w:color w:val="FFFFFF"/>
                <w:sz w:val="19"/>
              </w:rPr>
              <w:t>Ref</w:t>
            </w:r>
          </w:p>
        </w:tc>
        <w:tc>
          <w:tcPr>
            <w:tcW w:type="dxa" w:w="3744"/>
            <w:shd w:val="clear" w:color="auto" w:fill="1F3A5F"/>
          </w:tcPr>
          <w:p>
            <w:pPr>
              <w:spacing w:after="20"/>
            </w:pPr>
            <w:r/>
            <w:r>
              <w:rPr>
                <w:b/>
                <w:color w:val="FFFFFF"/>
                <w:sz w:val="19"/>
              </w:rPr>
              <w:t>Area</w:t>
            </w:r>
          </w:p>
        </w:tc>
        <w:tc>
          <w:tcPr>
            <w:tcW w:type="dxa" w:w="2448"/>
            <w:shd w:val="clear" w:color="auto" w:fill="1F3A5F"/>
          </w:tcPr>
          <w:p>
            <w:pPr>
              <w:spacing w:after="20"/>
            </w:pPr>
            <w:r/>
            <w:r>
              <w:rPr>
                <w:b/>
                <w:color w:val="FFFFFF"/>
                <w:sz w:val="19"/>
              </w:rPr>
              <w:t>Where it is tested</w:t>
            </w:r>
          </w:p>
        </w:tc>
        <w:tc>
          <w:tcPr>
            <w:tcW w:type="dxa" w:w="2880"/>
            <w:shd w:val="clear" w:color="auto" w:fill="1F3A5F"/>
          </w:tcPr>
          <w:p>
            <w:pPr>
              <w:spacing w:after="20"/>
            </w:pPr>
            <w:r/>
            <w:r>
              <w:rPr>
                <w:b/>
                <w:color w:val="FFFFFF"/>
                <w:sz w:val="19"/>
              </w:rPr>
              <w:t>Test cases</w:t>
            </w:r>
          </w:p>
        </w:tc>
      </w:tr>
      <w:tr>
        <w:trPr>
          <w:cantSplit/>
        </w:trPr>
        <w:tc>
          <w:tcPr>
            <w:tcW w:type="dxa" w:w="720"/>
          </w:tcPr>
          <w:p>
            <w:pPr>
              <w:spacing w:after="20"/>
            </w:pPr>
            <w:r/>
            <w:r>
              <w:rPr>
                <w:b w:val="0"/>
                <w:sz w:val="19"/>
              </w:rPr>
              <w:t>R1</w:t>
            </w:r>
          </w:p>
        </w:tc>
        <w:tc>
          <w:tcPr>
            <w:tcW w:type="dxa" w:w="3744"/>
          </w:tcPr>
          <w:p>
            <w:pPr>
              <w:spacing w:after="20"/>
            </w:pPr>
            <w:r/>
            <w:r>
              <w:rPr>
                <w:b w:val="0"/>
                <w:sz w:val="19"/>
              </w:rPr>
              <w:t>Job listings: titles, salary, experience, description</w:t>
            </w:r>
          </w:p>
        </w:tc>
        <w:tc>
          <w:tcPr>
            <w:tcW w:type="dxa" w:w="2448"/>
          </w:tcPr>
          <w:p>
            <w:pPr>
              <w:spacing w:after="20"/>
            </w:pPr>
            <w:r/>
            <w:r>
              <w:rPr>
                <w:b w:val="0"/>
                <w:sz w:val="19"/>
              </w:rPr>
              <w:t>Live portal, manual</w:t>
            </w:r>
          </w:p>
        </w:tc>
        <w:tc>
          <w:tcPr>
            <w:tcW w:type="dxa" w:w="2880"/>
          </w:tcPr>
          <w:p>
            <w:pPr>
              <w:spacing w:after="20"/>
            </w:pPr>
            <w:r/>
            <w:r>
              <w:rPr>
                <w:b w:val="0"/>
                <w:sz w:val="19"/>
              </w:rPr>
              <w:t>LST-01 to LST-05, LST-11 to LST-13, LST-16 to LST-19</w:t>
            </w:r>
          </w:p>
        </w:tc>
      </w:tr>
      <w:tr>
        <w:trPr>
          <w:cantSplit/>
        </w:trPr>
        <w:tc>
          <w:tcPr>
            <w:tcW w:type="dxa" w:w="720"/>
          </w:tcPr>
          <w:p>
            <w:pPr>
              <w:spacing w:after="20"/>
            </w:pPr>
            <w:r/>
            <w:r>
              <w:rPr>
                <w:b w:val="0"/>
                <w:sz w:val="19"/>
              </w:rPr>
              <w:t>R2</w:t>
            </w:r>
          </w:p>
        </w:tc>
        <w:tc>
          <w:tcPr>
            <w:tcW w:type="dxa" w:w="3744"/>
          </w:tcPr>
          <w:p>
            <w:pPr>
              <w:spacing w:after="20"/>
            </w:pPr>
            <w:r/>
            <w:r>
              <w:rPr>
                <w:b w:val="0"/>
                <w:sz w:val="19"/>
              </w:rPr>
              <w:t>Navigation: job links, Back, unknown addresses, sign-in to apply</w:t>
            </w:r>
          </w:p>
        </w:tc>
        <w:tc>
          <w:tcPr>
            <w:tcW w:type="dxa" w:w="2448"/>
          </w:tcPr>
          <w:p>
            <w:pPr>
              <w:spacing w:after="20"/>
            </w:pPr>
            <w:r/>
            <w:r>
              <w:rPr>
                <w:b w:val="0"/>
                <w:sz w:val="19"/>
              </w:rPr>
              <w:t>Live portal, manual</w:t>
            </w:r>
          </w:p>
        </w:tc>
        <w:tc>
          <w:tcPr>
            <w:tcW w:type="dxa" w:w="2880"/>
          </w:tcPr>
          <w:p>
            <w:pPr>
              <w:spacing w:after="20"/>
            </w:pPr>
            <w:r/>
            <w:r>
              <w:rPr>
                <w:b w:val="0"/>
                <w:sz w:val="19"/>
              </w:rPr>
              <w:t>LST-07 to LST-10, LST-20, LST-21</w:t>
            </w:r>
          </w:p>
        </w:tc>
      </w:tr>
      <w:tr>
        <w:trPr>
          <w:cantSplit/>
        </w:trPr>
        <w:tc>
          <w:tcPr>
            <w:tcW w:type="dxa" w:w="720"/>
          </w:tcPr>
          <w:p>
            <w:pPr>
              <w:spacing w:after="20"/>
            </w:pPr>
            <w:r/>
            <w:r>
              <w:rPr>
                <w:b w:val="0"/>
                <w:sz w:val="19"/>
              </w:rPr>
              <w:t>R3</w:t>
            </w:r>
          </w:p>
        </w:tc>
        <w:tc>
          <w:tcPr>
            <w:tcW w:type="dxa" w:w="3744"/>
          </w:tcPr>
          <w:p>
            <w:pPr>
              <w:spacing w:after="20"/>
            </w:pPr>
            <w:r/>
            <w:r>
              <w:rPr>
                <w:b w:val="0"/>
                <w:sz w:val="19"/>
              </w:rPr>
              <w:t>Form validation: required fields, email, whitespace, limits</w:t>
            </w:r>
          </w:p>
        </w:tc>
        <w:tc>
          <w:tcPr>
            <w:tcW w:type="dxa" w:w="2448"/>
          </w:tcPr>
          <w:p>
            <w:pPr>
              <w:spacing w:after="20"/>
            </w:pPr>
            <w:r/>
            <w:r>
              <w:rPr>
                <w:b w:val="0"/>
                <w:sz w:val="19"/>
              </w:rPr>
              <w:t>Mock form, automated</w:t>
            </w:r>
          </w:p>
        </w:tc>
        <w:tc>
          <w:tcPr>
            <w:tcW w:type="dxa" w:w="2880"/>
          </w:tcPr>
          <w:p>
            <w:pPr>
              <w:spacing w:after="20"/>
            </w:pPr>
            <w:r/>
            <w:r>
              <w:rPr>
                <w:b w:val="0"/>
                <w:sz w:val="19"/>
              </w:rPr>
              <w:t>VAL-01 to VAL-08</w:t>
            </w:r>
          </w:p>
        </w:tc>
      </w:tr>
      <w:tr>
        <w:trPr>
          <w:cantSplit/>
        </w:trPr>
        <w:tc>
          <w:tcPr>
            <w:tcW w:type="dxa" w:w="720"/>
          </w:tcPr>
          <w:p>
            <w:pPr>
              <w:spacing w:after="20"/>
            </w:pPr>
            <w:r/>
            <w:r>
              <w:rPr>
                <w:b w:val="0"/>
                <w:sz w:val="19"/>
              </w:rPr>
              <w:t>R4</w:t>
            </w:r>
          </w:p>
        </w:tc>
        <w:tc>
          <w:tcPr>
            <w:tcW w:type="dxa" w:w="3744"/>
          </w:tcPr>
          <w:p>
            <w:pPr>
              <w:spacing w:after="20"/>
            </w:pPr>
            <w:r/>
            <w:r>
              <w:rPr>
                <w:b w:val="0"/>
                <w:sz w:val="19"/>
              </w:rPr>
              <w:t>Submission: success, duplicates, repeated requests</w:t>
            </w:r>
          </w:p>
        </w:tc>
        <w:tc>
          <w:tcPr>
            <w:tcW w:type="dxa" w:w="2448"/>
          </w:tcPr>
          <w:p>
            <w:pPr>
              <w:spacing w:after="20"/>
            </w:pPr>
            <w:r/>
            <w:r>
              <w:rPr>
                <w:b w:val="0"/>
                <w:sz w:val="19"/>
              </w:rPr>
              <w:t>Mock form, automated</w:t>
            </w:r>
          </w:p>
        </w:tc>
        <w:tc>
          <w:tcPr>
            <w:tcW w:type="dxa" w:w="2880"/>
          </w:tcPr>
          <w:p>
            <w:pPr>
              <w:spacing w:after="20"/>
            </w:pPr>
            <w:r/>
            <w:r>
              <w:rPr>
                <w:b w:val="0"/>
                <w:sz w:val="19"/>
              </w:rPr>
              <w:t>SUB-01 to SUB-05</w:t>
            </w:r>
          </w:p>
        </w:tc>
      </w:tr>
      <w:tr>
        <w:trPr>
          <w:cantSplit/>
        </w:trPr>
        <w:tc>
          <w:tcPr>
            <w:tcW w:type="dxa" w:w="720"/>
          </w:tcPr>
          <w:p>
            <w:pPr>
              <w:spacing w:after="20"/>
            </w:pPr>
            <w:r/>
            <w:r>
              <w:rPr>
                <w:b w:val="0"/>
                <w:sz w:val="19"/>
              </w:rPr>
              <w:t>R5</w:t>
            </w:r>
          </w:p>
        </w:tc>
        <w:tc>
          <w:tcPr>
            <w:tcW w:type="dxa" w:w="3744"/>
          </w:tcPr>
          <w:p>
            <w:pPr>
              <w:spacing w:after="20"/>
            </w:pPr>
            <w:r/>
            <w:r>
              <w:rPr>
                <w:b w:val="0"/>
                <w:sz w:val="19"/>
              </w:rPr>
              <w:t>Error handling: server error, network failure, slow response, rejected field</w:t>
            </w:r>
          </w:p>
        </w:tc>
        <w:tc>
          <w:tcPr>
            <w:tcW w:type="dxa" w:w="2448"/>
          </w:tcPr>
          <w:p>
            <w:pPr>
              <w:spacing w:after="20"/>
            </w:pPr>
            <w:r/>
            <w:r>
              <w:rPr>
                <w:b w:val="0"/>
                <w:sz w:val="19"/>
              </w:rPr>
              <w:t>Mock form, automated</w:t>
            </w:r>
          </w:p>
        </w:tc>
        <w:tc>
          <w:tcPr>
            <w:tcW w:type="dxa" w:w="2880"/>
          </w:tcPr>
          <w:p>
            <w:pPr>
              <w:spacing w:after="20"/>
            </w:pPr>
            <w:r/>
            <w:r>
              <w:rPr>
                <w:b w:val="0"/>
                <w:sz w:val="19"/>
              </w:rPr>
              <w:t>ERR-01 to ERR-04</w:t>
            </w:r>
          </w:p>
        </w:tc>
      </w:tr>
      <w:tr>
        <w:trPr>
          <w:cantSplit/>
        </w:trPr>
        <w:tc>
          <w:tcPr>
            <w:tcW w:type="dxa" w:w="720"/>
          </w:tcPr>
          <w:p>
            <w:pPr>
              <w:spacing w:after="20"/>
            </w:pPr>
            <w:r/>
            <w:r>
              <w:rPr>
                <w:b w:val="0"/>
                <w:sz w:val="19"/>
              </w:rPr>
              <w:t>R6</w:t>
            </w:r>
          </w:p>
        </w:tc>
        <w:tc>
          <w:tcPr>
            <w:tcW w:type="dxa" w:w="3744"/>
          </w:tcPr>
          <w:p>
            <w:pPr>
              <w:spacing w:after="20"/>
            </w:pPr>
            <w:r/>
            <w:r>
              <w:rPr>
                <w:b w:val="0"/>
                <w:sz w:val="19"/>
              </w:rPr>
              <w:t>Cross-browser and small screens</w:t>
            </w:r>
          </w:p>
        </w:tc>
        <w:tc>
          <w:tcPr>
            <w:tcW w:type="dxa" w:w="2448"/>
          </w:tcPr>
          <w:p>
            <w:pPr>
              <w:spacing w:after="20"/>
            </w:pPr>
            <w:r/>
            <w:r>
              <w:rPr>
                <w:b w:val="0"/>
                <w:sz w:val="19"/>
              </w:rPr>
              <w:t>Mock form (automated) and live portal (manual)</w:t>
            </w:r>
          </w:p>
        </w:tc>
        <w:tc>
          <w:tcPr>
            <w:tcW w:type="dxa" w:w="2880"/>
          </w:tcPr>
          <w:p>
            <w:pPr>
              <w:spacing w:after="20"/>
            </w:pPr>
            <w:r/>
            <w:r>
              <w:rPr>
                <w:b w:val="0"/>
                <w:sz w:val="19"/>
              </w:rPr>
              <w:t>XBR-01, XBR-02, XBR-04</w:t>
            </w:r>
          </w:p>
        </w:tc>
      </w:tr>
    </w:tbl>
    <w:p>
      <w:pPr>
        <w:spacing w:after="40"/>
      </w:pPr>
    </w:p>
    <w:p>
      <w:pPr>
        <w:pStyle w:val="Heading1"/>
      </w:pPr>
      <w:r>
        <w:t>2. Approach and testing rules</w:t>
      </w:r>
    </w:p>
    <w:p>
      <w:pPr>
        <w:pStyle w:val="ListBullet"/>
        <w:spacing w:after="40"/>
      </w:pPr>
      <w:r>
        <w:rPr>
          <w:b/>
        </w:rPr>
        <w:t xml:space="preserve">Live portal: </w:t>
      </w:r>
      <w:r>
        <w:t>read-only. I browse, search, filter and open jobs. I do not submit applications, save, bookmark, change data or run load tests, as the brief requires.</w:t>
      </w:r>
    </w:p>
    <w:p>
      <w:pPr>
        <w:pStyle w:val="ListBullet"/>
        <w:spacing w:after="40"/>
      </w:pPr>
      <w:r>
        <w:rPr>
          <w:b/>
        </w:rPr>
        <w:t xml:space="preserve">Mock application: </w:t>
      </w:r>
      <w:r>
        <w:t>a small local form and server (mock-app/) built so that submission and error cases can be tested safely. It keeps data in memory and uses the same validation rules in the page and on the server.</w:t>
      </w:r>
    </w:p>
    <w:p>
      <w:pPr>
        <w:pStyle w:val="ListBullet"/>
        <w:spacing w:after="40"/>
      </w:pPr>
      <w:r>
        <w:rPr>
          <w:b/>
        </w:rPr>
        <w:t xml:space="preserve">Test design: </w:t>
      </w:r>
      <w:r>
        <w:t>positive, negative and boundary cases. Boundary values are tried just below, on and just above each limit (name 2 to 60 characters, experience 0 to 20, cover note 500 characters).</w:t>
      </w:r>
    </w:p>
    <w:p>
      <w:pPr>
        <w:pStyle w:val="ListBullet"/>
        <w:spacing w:after="40"/>
      </w:pPr>
      <w:r>
        <w:rPr>
          <w:b/>
        </w:rPr>
        <w:t xml:space="preserve">Automation: </w:t>
      </w:r>
      <w:r>
        <w:t>every automated test checks what the user sees and also asks the server what it really stored. Each test uses its own job ID, so tests never share data and can run in parallel.</w:t>
      </w:r>
    </w:p>
    <w:p>
      <w:pPr>
        <w:pStyle w:val="ListBullet"/>
        <w:spacing w:after="40"/>
      </w:pPr>
      <w:r>
        <w:rPr>
          <w:b/>
        </w:rPr>
        <w:t xml:space="preserve">Evidence: </w:t>
      </w:r>
      <w:r>
        <w:t>every automated test saves a screenshot per browser. Live-portal findings have screenshots where one could be taken.</w:t>
      </w:r>
    </w:p>
    <w:p>
      <w:pPr>
        <w:pStyle w:val="Heading1"/>
      </w:pPr>
      <w:r>
        <w:t>3. How priority was decided</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1440"/>
        <w:gridCol w:w="4752"/>
        <w:gridCol w:w="3600"/>
      </w:tblGrid>
      <w:tr>
        <w:trPr>
          <w:tblHeader w:val="true"/>
          <w:cantSplit/>
        </w:trPr>
        <w:tc>
          <w:tcPr>
            <w:tcW w:type="dxa" w:w="1440"/>
            <w:shd w:val="clear" w:color="auto" w:fill="1F3A5F"/>
          </w:tcPr>
          <w:p>
            <w:pPr>
              <w:spacing w:after="20"/>
            </w:pPr>
            <w:r/>
            <w:r>
              <w:rPr>
                <w:b/>
                <w:color w:val="FFFFFF"/>
                <w:sz w:val="19"/>
              </w:rPr>
              <w:t>Priority</w:t>
            </w:r>
          </w:p>
        </w:tc>
        <w:tc>
          <w:tcPr>
            <w:tcW w:type="dxa" w:w="4752"/>
            <w:shd w:val="clear" w:color="auto" w:fill="1F3A5F"/>
          </w:tcPr>
          <w:p>
            <w:pPr>
              <w:spacing w:after="20"/>
            </w:pPr>
            <w:r/>
            <w:r>
              <w:rPr>
                <w:b/>
                <w:color w:val="FFFFFF"/>
                <w:sz w:val="19"/>
              </w:rPr>
              <w:t>Meaning</w:t>
            </w:r>
          </w:p>
        </w:tc>
        <w:tc>
          <w:tcPr>
            <w:tcW w:type="dxa" w:w="3600"/>
            <w:shd w:val="clear" w:color="auto" w:fill="1F3A5F"/>
          </w:tcPr>
          <w:p>
            <w:pPr>
              <w:spacing w:after="20"/>
            </w:pPr>
            <w:r/>
            <w:r>
              <w:rPr>
                <w:b/>
                <w:color w:val="FFFFFF"/>
                <w:sz w:val="19"/>
              </w:rPr>
              <w:t>Examples</w:t>
            </w:r>
          </w:p>
        </w:tc>
      </w:tr>
      <w:tr>
        <w:trPr>
          <w:cantSplit/>
        </w:trPr>
        <w:tc>
          <w:tcPr>
            <w:tcW w:type="dxa" w:w="1440"/>
          </w:tcPr>
          <w:p>
            <w:pPr>
              <w:spacing w:after="20"/>
            </w:pPr>
            <w:r/>
            <w:r>
              <w:rPr>
                <w:b w:val="0"/>
                <w:sz w:val="19"/>
              </w:rPr>
              <w:t>High (P1)</w:t>
            </w:r>
          </w:p>
        </w:tc>
        <w:tc>
          <w:tcPr>
            <w:tcW w:type="dxa" w:w="4752"/>
          </w:tcPr>
          <w:p>
            <w:pPr>
              <w:spacing w:after="20"/>
            </w:pPr>
            <w:r/>
            <w:r>
              <w:rPr>
                <w:b w:val="0"/>
                <w:sz w:val="19"/>
              </w:rPr>
              <w:t>A candidate could lose an application, send it twice, be blocked from applying, or see wrong key information such as pay.</w:t>
            </w:r>
          </w:p>
        </w:tc>
        <w:tc>
          <w:tcPr>
            <w:tcW w:type="dxa" w:w="3600"/>
          </w:tcPr>
          <w:p>
            <w:pPr>
              <w:spacing w:after="20"/>
            </w:pPr>
            <w:r/>
            <w:r>
              <w:rPr>
                <w:b w:val="0"/>
                <w:sz w:val="19"/>
              </w:rPr>
              <w:t>Empty form, invalid email, double-click submit, duplicate application, server error, network failure, salary shown without a period</w:t>
            </w:r>
          </w:p>
        </w:tc>
      </w:tr>
      <w:tr>
        <w:trPr>
          <w:cantSplit/>
        </w:trPr>
        <w:tc>
          <w:tcPr>
            <w:tcW w:type="dxa" w:w="1440"/>
          </w:tcPr>
          <w:p>
            <w:pPr>
              <w:spacing w:after="20"/>
            </w:pPr>
            <w:r/>
            <w:r>
              <w:rPr>
                <w:b w:val="0"/>
                <w:sz w:val="19"/>
              </w:rPr>
              <w:t>Medium (P2)</w:t>
            </w:r>
          </w:p>
        </w:tc>
        <w:tc>
          <w:tcPr>
            <w:tcW w:type="dxa" w:w="4752"/>
          </w:tcPr>
          <w:p>
            <w:pPr>
              <w:spacing w:after="20"/>
            </w:pPr>
            <w:r/>
            <w:r>
              <w:rPr>
                <w:b w:val="0"/>
                <w:sz w:val="19"/>
              </w:rPr>
              <w:t>Wrong or confusing behaviour that does not stop an application: limits, odd characters, secondary filters, layout.</w:t>
            </w:r>
          </w:p>
        </w:tc>
        <w:tc>
          <w:tcPr>
            <w:tcW w:type="dxa" w:w="3600"/>
          </w:tcPr>
          <w:p>
            <w:pPr>
              <w:spacing w:after="20"/>
            </w:pPr>
            <w:r/>
            <w:r>
              <w:rPr>
                <w:b w:val="0"/>
                <w:sz w:val="19"/>
              </w:rPr>
              <w:t>Name length, cover note limit, Tamil name, skill and category filters, 375 px screen</w:t>
            </w:r>
          </w:p>
        </w:tc>
      </w:tr>
      <w:tr>
        <w:trPr>
          <w:cantSplit/>
        </w:trPr>
        <w:tc>
          <w:tcPr>
            <w:tcW w:type="dxa" w:w="1440"/>
          </w:tcPr>
          <w:p>
            <w:pPr>
              <w:spacing w:after="20"/>
            </w:pPr>
            <w:r/>
            <w:r>
              <w:rPr>
                <w:b w:val="0"/>
                <w:sz w:val="19"/>
              </w:rPr>
              <w:t>Low (P3)</w:t>
            </w:r>
          </w:p>
        </w:tc>
        <w:tc>
          <w:tcPr>
            <w:tcW w:type="dxa" w:w="4752"/>
          </w:tcPr>
          <w:p>
            <w:pPr>
              <w:spacing w:after="20"/>
            </w:pPr>
            <w:r/>
            <w:r>
              <w:rPr>
                <w:b w:val="0"/>
                <w:sz w:val="19"/>
              </w:rPr>
              <w:t>Convenience or polish.</w:t>
            </w:r>
          </w:p>
        </w:tc>
        <w:tc>
          <w:tcPr>
            <w:tcW w:type="dxa" w:w="3600"/>
          </w:tcPr>
          <w:p>
            <w:pPr>
              <w:spacing w:after="20"/>
            </w:pPr>
            <w:r/>
            <w:r>
              <w:rPr>
                <w:b w:val="0"/>
                <w:sz w:val="19"/>
              </w:rPr>
              <w:t>Enter key, clickable empty card area, invalid URL values</w:t>
            </w:r>
          </w:p>
        </w:tc>
      </w:tr>
    </w:tbl>
    <w:p>
      <w:pPr>
        <w:spacing w:after="40"/>
      </w:pPr>
    </w:p>
    <w:p>
      <w:r>
        <w:rPr>
          <w:b w:val="0"/>
          <w:i w:val="0"/>
        </w:rPr>
        <w:t>Reasoning: the application itself is the whole point of the product, so anything that can lose, duplicate or block it comes first. After that comes information the candidate relies on to decide whether to apply (pay, level, description). Presentation and convenience come last. Within a level, I run the cheapest checks first so that a broken build is found early (smoke tests).</w:t>
      </w:r>
    </w:p>
    <w:p>
      <w:pPr>
        <w:pStyle w:val="Heading1"/>
      </w:pPr>
      <w:r>
        <w:t>4. Prioritised scenarios</w:t>
      </w:r>
    </w:p>
    <w:p>
      <w:pPr>
        <w:pStyle w:val="Heading2"/>
      </w:pPr>
      <w:r>
        <w:t>High priority (run first)</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1152"/>
        <w:gridCol w:w="4176"/>
        <w:gridCol w:w="3168"/>
        <w:gridCol w:w="1296"/>
      </w:tblGrid>
      <w:tr>
        <w:trPr>
          <w:tblHeader w:val="true"/>
          <w:cantSplit/>
        </w:trPr>
        <w:tc>
          <w:tcPr>
            <w:tcW w:type="dxa" w:w="1152"/>
            <w:shd w:val="clear" w:color="auto" w:fill="1F3A5F"/>
          </w:tcPr>
          <w:p>
            <w:pPr>
              <w:spacing w:after="20"/>
            </w:pPr>
            <w:r/>
            <w:r>
              <w:rPr>
                <w:b/>
                <w:color w:val="FFFFFF"/>
                <w:sz w:val="18"/>
              </w:rPr>
              <w:t>ID</w:t>
            </w:r>
          </w:p>
        </w:tc>
        <w:tc>
          <w:tcPr>
            <w:tcW w:type="dxa" w:w="4176"/>
            <w:shd w:val="clear" w:color="auto" w:fill="1F3A5F"/>
          </w:tcPr>
          <w:p>
            <w:pPr>
              <w:spacing w:after="20"/>
            </w:pPr>
            <w:r/>
            <w:r>
              <w:rPr>
                <w:b/>
                <w:color w:val="FFFFFF"/>
                <w:sz w:val="18"/>
              </w:rPr>
              <w:t>Scenario</w:t>
            </w:r>
          </w:p>
        </w:tc>
        <w:tc>
          <w:tcPr>
            <w:tcW w:type="dxa" w:w="3168"/>
            <w:shd w:val="clear" w:color="auto" w:fill="1F3A5F"/>
          </w:tcPr>
          <w:p>
            <w:pPr>
              <w:spacing w:after="20"/>
            </w:pPr>
            <w:r/>
            <w:r>
              <w:rPr>
                <w:b/>
                <w:color w:val="FFFFFF"/>
                <w:sz w:val="18"/>
              </w:rPr>
              <w:t>Why it is high</w:t>
            </w:r>
          </w:p>
        </w:tc>
        <w:tc>
          <w:tcPr>
            <w:tcW w:type="dxa" w:w="1296"/>
            <w:shd w:val="clear" w:color="auto" w:fill="1F3A5F"/>
          </w:tcPr>
          <w:p>
            <w:pPr>
              <w:spacing w:after="20"/>
            </w:pPr>
            <w:r/>
            <w:r>
              <w:rPr>
                <w:b/>
                <w:color w:val="FFFFFF"/>
                <w:sz w:val="18"/>
              </w:rPr>
              <w:t>How</w:t>
            </w:r>
          </w:p>
        </w:tc>
      </w:tr>
      <w:tr>
        <w:trPr>
          <w:cantSplit/>
        </w:trPr>
        <w:tc>
          <w:tcPr>
            <w:tcW w:type="dxa" w:w="1152"/>
          </w:tcPr>
          <w:p>
            <w:pPr>
              <w:spacing w:after="20"/>
            </w:pPr>
            <w:r/>
            <w:r>
              <w:rPr>
                <w:b w:val="0"/>
                <w:sz w:val="18"/>
              </w:rPr>
              <w:t>VAL-01</w:t>
            </w:r>
          </w:p>
        </w:tc>
        <w:tc>
          <w:tcPr>
            <w:tcW w:type="dxa" w:w="4176"/>
          </w:tcPr>
          <w:p>
            <w:pPr>
              <w:spacing w:after="20"/>
            </w:pPr>
            <w:r/>
            <w:r>
              <w:rPr>
                <w:b w:val="0"/>
                <w:sz w:val="18"/>
              </w:rPr>
              <w:t>Empty form flags every required field and sends nothing</w:t>
            </w:r>
          </w:p>
        </w:tc>
        <w:tc>
          <w:tcPr>
            <w:tcW w:type="dxa" w:w="3168"/>
          </w:tcPr>
          <w:p>
            <w:pPr>
              <w:spacing w:after="20"/>
            </w:pPr>
            <w:r/>
            <w:r>
              <w:rPr>
                <w:b w:val="0"/>
                <w:sz w:val="18"/>
              </w:rPr>
              <w:t>Stops empty applications</w:t>
            </w:r>
          </w:p>
        </w:tc>
        <w:tc>
          <w:tcPr>
            <w:tcW w:type="dxa" w:w="1296"/>
          </w:tcPr>
          <w:p>
            <w:pPr>
              <w:spacing w:after="20"/>
            </w:pPr>
            <w:r/>
            <w:r>
              <w:rPr>
                <w:b w:val="0"/>
                <w:sz w:val="18"/>
              </w:rPr>
              <w:t>Automated</w:t>
            </w:r>
          </w:p>
        </w:tc>
      </w:tr>
      <w:tr>
        <w:trPr>
          <w:cantSplit/>
        </w:trPr>
        <w:tc>
          <w:tcPr>
            <w:tcW w:type="dxa" w:w="1152"/>
          </w:tcPr>
          <w:p>
            <w:pPr>
              <w:spacing w:after="20"/>
            </w:pPr>
            <w:r/>
            <w:r>
              <w:rPr>
                <w:b w:val="0"/>
                <w:sz w:val="18"/>
              </w:rPr>
              <w:t>VAL-02</w:t>
            </w:r>
          </w:p>
        </w:tc>
        <w:tc>
          <w:tcPr>
            <w:tcW w:type="dxa" w:w="4176"/>
          </w:tcPr>
          <w:p>
            <w:pPr>
              <w:spacing w:after="20"/>
            </w:pPr>
            <w:r/>
            <w:r>
              <w:rPr>
                <w:b w:val="0"/>
                <w:sz w:val="18"/>
              </w:rPr>
              <w:t>Invalid email formats are rejected</w:t>
            </w:r>
          </w:p>
        </w:tc>
        <w:tc>
          <w:tcPr>
            <w:tcW w:type="dxa" w:w="3168"/>
          </w:tcPr>
          <w:p>
            <w:pPr>
              <w:spacing w:after="20"/>
            </w:pPr>
            <w:r/>
            <w:r>
              <w:rPr>
                <w:b w:val="0"/>
                <w:sz w:val="18"/>
              </w:rPr>
              <w:t>Applications without a way to contact the candidate are useless</w:t>
            </w:r>
          </w:p>
        </w:tc>
        <w:tc>
          <w:tcPr>
            <w:tcW w:type="dxa" w:w="1296"/>
          </w:tcPr>
          <w:p>
            <w:pPr>
              <w:spacing w:after="20"/>
            </w:pPr>
            <w:r/>
            <w:r>
              <w:rPr>
                <w:b w:val="0"/>
                <w:sz w:val="18"/>
              </w:rPr>
              <w:t>Automated</w:t>
            </w:r>
          </w:p>
        </w:tc>
      </w:tr>
      <w:tr>
        <w:trPr>
          <w:cantSplit/>
        </w:trPr>
        <w:tc>
          <w:tcPr>
            <w:tcW w:type="dxa" w:w="1152"/>
          </w:tcPr>
          <w:p>
            <w:pPr>
              <w:spacing w:after="20"/>
            </w:pPr>
            <w:r/>
            <w:r>
              <w:rPr>
                <w:b w:val="0"/>
                <w:sz w:val="18"/>
              </w:rPr>
              <w:t>VAL-04</w:t>
            </w:r>
          </w:p>
        </w:tc>
        <w:tc>
          <w:tcPr>
            <w:tcW w:type="dxa" w:w="4176"/>
          </w:tcPr>
          <w:p>
            <w:pPr>
              <w:spacing w:after="20"/>
            </w:pPr>
            <w:r/>
            <w:r>
              <w:rPr>
                <w:b w:val="0"/>
                <w:sz w:val="18"/>
              </w:rPr>
              <w:t>Whitespace-only names are rejected, real names are trimmed</w:t>
            </w:r>
          </w:p>
        </w:tc>
        <w:tc>
          <w:tcPr>
            <w:tcW w:type="dxa" w:w="3168"/>
          </w:tcPr>
          <w:p>
            <w:pPr>
              <w:spacing w:after="20"/>
            </w:pPr>
            <w:r/>
            <w:r>
              <w:rPr>
                <w:b w:val="0"/>
                <w:sz w:val="18"/>
              </w:rPr>
              <w:t>Blank names pass naive "required" checks</w:t>
            </w:r>
          </w:p>
        </w:tc>
        <w:tc>
          <w:tcPr>
            <w:tcW w:type="dxa" w:w="1296"/>
          </w:tcPr>
          <w:p>
            <w:pPr>
              <w:spacing w:after="20"/>
            </w:pPr>
            <w:r/>
            <w:r>
              <w:rPr>
                <w:b w:val="0"/>
                <w:sz w:val="18"/>
              </w:rPr>
              <w:t>Automated</w:t>
            </w:r>
          </w:p>
        </w:tc>
      </w:tr>
      <w:tr>
        <w:trPr>
          <w:cantSplit/>
        </w:trPr>
        <w:tc>
          <w:tcPr>
            <w:tcW w:type="dxa" w:w="1152"/>
          </w:tcPr>
          <w:p>
            <w:pPr>
              <w:spacing w:after="20"/>
            </w:pPr>
            <w:r/>
            <w:r>
              <w:rPr>
                <w:b w:val="0"/>
                <w:sz w:val="18"/>
              </w:rPr>
              <w:t>SUB-01</w:t>
            </w:r>
          </w:p>
        </w:tc>
        <w:tc>
          <w:tcPr>
            <w:tcW w:type="dxa" w:w="4176"/>
          </w:tcPr>
          <w:p>
            <w:pPr>
              <w:spacing w:after="20"/>
            </w:pPr>
            <w:r/>
            <w:r>
              <w:rPr>
                <w:b w:val="0"/>
                <w:sz w:val="18"/>
              </w:rPr>
              <w:t>Valid application succeeds and saves exactly one record</w:t>
            </w:r>
          </w:p>
        </w:tc>
        <w:tc>
          <w:tcPr>
            <w:tcW w:type="dxa" w:w="3168"/>
          </w:tcPr>
          <w:p>
            <w:pPr>
              <w:spacing w:after="20"/>
            </w:pPr>
            <w:r/>
            <w:r>
              <w:rPr>
                <w:b w:val="0"/>
                <w:sz w:val="18"/>
              </w:rPr>
              <w:t>The main happy path</w:t>
            </w:r>
          </w:p>
        </w:tc>
        <w:tc>
          <w:tcPr>
            <w:tcW w:type="dxa" w:w="1296"/>
          </w:tcPr>
          <w:p>
            <w:pPr>
              <w:spacing w:after="20"/>
            </w:pPr>
            <w:r/>
            <w:r>
              <w:rPr>
                <w:b w:val="0"/>
                <w:sz w:val="18"/>
              </w:rPr>
              <w:t>Automated</w:t>
            </w:r>
          </w:p>
        </w:tc>
      </w:tr>
      <w:tr>
        <w:trPr>
          <w:cantSplit/>
        </w:trPr>
        <w:tc>
          <w:tcPr>
            <w:tcW w:type="dxa" w:w="1152"/>
          </w:tcPr>
          <w:p>
            <w:pPr>
              <w:spacing w:after="20"/>
            </w:pPr>
            <w:r/>
            <w:r>
              <w:rPr>
                <w:b w:val="0"/>
                <w:sz w:val="18"/>
              </w:rPr>
              <w:t>SUB-02</w:t>
            </w:r>
          </w:p>
        </w:tc>
        <w:tc>
          <w:tcPr>
            <w:tcW w:type="dxa" w:w="4176"/>
          </w:tcPr>
          <w:p>
            <w:pPr>
              <w:spacing w:after="20"/>
            </w:pPr>
            <w:r/>
            <w:r>
              <w:rPr>
                <w:b w:val="0"/>
                <w:sz w:val="18"/>
              </w:rPr>
              <w:t>Double-click or repeated submit sends one request</w:t>
            </w:r>
          </w:p>
        </w:tc>
        <w:tc>
          <w:tcPr>
            <w:tcW w:type="dxa" w:w="3168"/>
          </w:tcPr>
          <w:p>
            <w:pPr>
              <w:spacing w:after="20"/>
            </w:pPr>
            <w:r/>
            <w:r>
              <w:rPr>
                <w:b w:val="0"/>
                <w:sz w:val="18"/>
              </w:rPr>
              <w:t>Accidental duplicate requests</w:t>
            </w:r>
          </w:p>
        </w:tc>
        <w:tc>
          <w:tcPr>
            <w:tcW w:type="dxa" w:w="1296"/>
          </w:tcPr>
          <w:p>
            <w:pPr>
              <w:spacing w:after="20"/>
            </w:pPr>
            <w:r/>
            <w:r>
              <w:rPr>
                <w:b w:val="0"/>
                <w:sz w:val="18"/>
              </w:rPr>
              <w:t>Automated</w:t>
            </w:r>
          </w:p>
        </w:tc>
      </w:tr>
      <w:tr>
        <w:trPr>
          <w:cantSplit/>
        </w:trPr>
        <w:tc>
          <w:tcPr>
            <w:tcW w:type="dxa" w:w="1152"/>
          </w:tcPr>
          <w:p>
            <w:pPr>
              <w:spacing w:after="20"/>
            </w:pPr>
            <w:r/>
            <w:r>
              <w:rPr>
                <w:b w:val="0"/>
                <w:sz w:val="18"/>
              </w:rPr>
              <w:t>SUB-03</w:t>
            </w:r>
          </w:p>
        </w:tc>
        <w:tc>
          <w:tcPr>
            <w:tcW w:type="dxa" w:w="4176"/>
          </w:tcPr>
          <w:p>
            <w:pPr>
              <w:spacing w:after="20"/>
            </w:pPr>
            <w:r/>
            <w:r>
              <w:rPr>
                <w:b w:val="0"/>
                <w:sz w:val="18"/>
              </w:rPr>
              <w:t>Same email applying twice is rejected, even in capitals</w:t>
            </w:r>
          </w:p>
        </w:tc>
        <w:tc>
          <w:tcPr>
            <w:tcW w:type="dxa" w:w="3168"/>
          </w:tcPr>
          <w:p>
            <w:pPr>
              <w:spacing w:after="20"/>
            </w:pPr>
            <w:r/>
            <w:r>
              <w:rPr>
                <w:b w:val="0"/>
                <w:sz w:val="18"/>
              </w:rPr>
              <w:t>Duplicate applications</w:t>
            </w:r>
          </w:p>
        </w:tc>
        <w:tc>
          <w:tcPr>
            <w:tcW w:type="dxa" w:w="1296"/>
          </w:tcPr>
          <w:p>
            <w:pPr>
              <w:spacing w:after="20"/>
            </w:pPr>
            <w:r/>
            <w:r>
              <w:rPr>
                <w:b w:val="0"/>
                <w:sz w:val="18"/>
              </w:rPr>
              <w:t>Automated</w:t>
            </w:r>
          </w:p>
        </w:tc>
      </w:tr>
      <w:tr>
        <w:trPr>
          <w:cantSplit/>
        </w:trPr>
        <w:tc>
          <w:tcPr>
            <w:tcW w:type="dxa" w:w="1152"/>
          </w:tcPr>
          <w:p>
            <w:pPr>
              <w:spacing w:after="20"/>
            </w:pPr>
            <w:r/>
            <w:r>
              <w:rPr>
                <w:b w:val="0"/>
                <w:sz w:val="18"/>
              </w:rPr>
              <w:t>ERR-01</w:t>
            </w:r>
          </w:p>
        </w:tc>
        <w:tc>
          <w:tcPr>
            <w:tcW w:type="dxa" w:w="4176"/>
          </w:tcPr>
          <w:p>
            <w:pPr>
              <w:spacing w:after="20"/>
            </w:pPr>
            <w:r/>
            <w:r>
              <w:rPr>
                <w:b w:val="0"/>
                <w:sz w:val="18"/>
              </w:rPr>
              <w:t>Server error 500 keeps details and allows a retry</w:t>
            </w:r>
          </w:p>
        </w:tc>
        <w:tc>
          <w:tcPr>
            <w:tcW w:type="dxa" w:w="3168"/>
          </w:tcPr>
          <w:p>
            <w:pPr>
              <w:spacing w:after="20"/>
            </w:pPr>
            <w:r/>
            <w:r>
              <w:rPr>
                <w:b w:val="0"/>
                <w:sz w:val="18"/>
              </w:rPr>
              <w:t>Candidate must not lose a long application</w:t>
            </w:r>
          </w:p>
        </w:tc>
        <w:tc>
          <w:tcPr>
            <w:tcW w:type="dxa" w:w="1296"/>
          </w:tcPr>
          <w:p>
            <w:pPr>
              <w:spacing w:after="20"/>
            </w:pPr>
            <w:r/>
            <w:r>
              <w:rPr>
                <w:b w:val="0"/>
                <w:sz w:val="18"/>
              </w:rPr>
              <w:t>Automated</w:t>
            </w:r>
          </w:p>
        </w:tc>
      </w:tr>
      <w:tr>
        <w:trPr>
          <w:cantSplit/>
        </w:trPr>
        <w:tc>
          <w:tcPr>
            <w:tcW w:type="dxa" w:w="1152"/>
          </w:tcPr>
          <w:p>
            <w:pPr>
              <w:spacing w:after="20"/>
            </w:pPr>
            <w:r/>
            <w:r>
              <w:rPr>
                <w:b w:val="0"/>
                <w:sz w:val="18"/>
              </w:rPr>
              <w:t>ERR-02</w:t>
            </w:r>
          </w:p>
        </w:tc>
        <w:tc>
          <w:tcPr>
            <w:tcW w:type="dxa" w:w="4176"/>
          </w:tcPr>
          <w:p>
            <w:pPr>
              <w:spacing w:after="20"/>
            </w:pPr>
            <w:r/>
            <w:r>
              <w:rPr>
                <w:b w:val="0"/>
                <w:sz w:val="18"/>
              </w:rPr>
              <w:t>Network failure stops loading and keeps details</w:t>
            </w:r>
          </w:p>
        </w:tc>
        <w:tc>
          <w:tcPr>
            <w:tcW w:type="dxa" w:w="3168"/>
          </w:tcPr>
          <w:p>
            <w:pPr>
              <w:spacing w:after="20"/>
            </w:pPr>
            <w:r/>
            <w:r>
              <w:rPr>
                <w:b w:val="0"/>
                <w:sz w:val="18"/>
              </w:rPr>
              <w:t>Same risk, common on mobile data</w:t>
            </w:r>
          </w:p>
        </w:tc>
        <w:tc>
          <w:tcPr>
            <w:tcW w:type="dxa" w:w="1296"/>
          </w:tcPr>
          <w:p>
            <w:pPr>
              <w:spacing w:after="20"/>
            </w:pPr>
            <w:r/>
            <w:r>
              <w:rPr>
                <w:b w:val="0"/>
                <w:sz w:val="18"/>
              </w:rPr>
              <w:t>Automated</w:t>
            </w:r>
          </w:p>
        </w:tc>
      </w:tr>
      <w:tr>
        <w:trPr>
          <w:cantSplit/>
        </w:trPr>
        <w:tc>
          <w:tcPr>
            <w:tcW w:type="dxa" w:w="1152"/>
          </w:tcPr>
          <w:p>
            <w:pPr>
              <w:spacing w:after="20"/>
            </w:pPr>
            <w:r/>
            <w:r>
              <w:rPr>
                <w:b w:val="0"/>
                <w:sz w:val="18"/>
              </w:rPr>
              <w:t>XBR-01</w:t>
            </w:r>
          </w:p>
        </w:tc>
        <w:tc>
          <w:tcPr>
            <w:tcW w:type="dxa" w:w="4176"/>
          </w:tcPr>
          <w:p>
            <w:pPr>
              <w:spacing w:after="20"/>
            </w:pPr>
            <w:r/>
            <w:r>
              <w:rPr>
                <w:b w:val="0"/>
                <w:sz w:val="18"/>
              </w:rPr>
              <w:t>Whole suite gives the same result on Chromium, Firefox and WebKit</w:t>
            </w:r>
          </w:p>
        </w:tc>
        <w:tc>
          <w:tcPr>
            <w:tcW w:type="dxa" w:w="3168"/>
          </w:tcPr>
          <w:p>
            <w:pPr>
              <w:spacing w:after="20"/>
            </w:pPr>
            <w:r/>
            <w:r>
              <w:rPr>
                <w:b w:val="0"/>
                <w:sz w:val="18"/>
              </w:rPr>
              <w:t>Candidates use different browsers</w:t>
            </w:r>
          </w:p>
        </w:tc>
        <w:tc>
          <w:tcPr>
            <w:tcW w:type="dxa" w:w="1296"/>
          </w:tcPr>
          <w:p>
            <w:pPr>
              <w:spacing w:after="20"/>
            </w:pPr>
            <w:r/>
            <w:r>
              <w:rPr>
                <w:b w:val="0"/>
                <w:sz w:val="18"/>
              </w:rPr>
              <w:t>Automated</w:t>
            </w:r>
          </w:p>
        </w:tc>
      </w:tr>
      <w:tr>
        <w:trPr>
          <w:cantSplit/>
        </w:trPr>
        <w:tc>
          <w:tcPr>
            <w:tcW w:type="dxa" w:w="1152"/>
          </w:tcPr>
          <w:p>
            <w:pPr>
              <w:spacing w:after="20"/>
            </w:pPr>
            <w:r/>
            <w:r>
              <w:rPr>
                <w:b w:val="0"/>
                <w:sz w:val="18"/>
              </w:rPr>
              <w:t>LST-01</w:t>
            </w:r>
          </w:p>
        </w:tc>
        <w:tc>
          <w:tcPr>
            <w:tcW w:type="dxa" w:w="4176"/>
          </w:tcPr>
          <w:p>
            <w:pPr>
              <w:spacing w:after="20"/>
            </w:pPr>
            <w:r/>
            <w:r>
              <w:rPr>
                <w:b w:val="0"/>
                <w:sz w:val="18"/>
              </w:rPr>
              <w:t>Salary shows its pay period</w:t>
            </w:r>
          </w:p>
        </w:tc>
        <w:tc>
          <w:tcPr>
            <w:tcW w:type="dxa" w:w="3168"/>
          </w:tcPr>
          <w:p>
            <w:pPr>
              <w:spacing w:after="20"/>
            </w:pPr>
            <w:r/>
            <w:r>
              <w:rPr>
                <w:b w:val="0"/>
                <w:sz w:val="18"/>
              </w:rPr>
              <w:t>Pay is key decision information</w:t>
            </w:r>
          </w:p>
        </w:tc>
        <w:tc>
          <w:tcPr>
            <w:tcW w:type="dxa" w:w="1296"/>
          </w:tcPr>
          <w:p>
            <w:pPr>
              <w:spacing w:after="20"/>
            </w:pPr>
            <w:r/>
            <w:r>
              <w:rPr>
                <w:b w:val="0"/>
                <w:sz w:val="18"/>
              </w:rPr>
              <w:t>Manual</w:t>
            </w:r>
          </w:p>
        </w:tc>
      </w:tr>
      <w:tr>
        <w:trPr>
          <w:cantSplit/>
        </w:trPr>
        <w:tc>
          <w:tcPr>
            <w:tcW w:type="dxa" w:w="1152"/>
          </w:tcPr>
          <w:p>
            <w:pPr>
              <w:spacing w:after="20"/>
            </w:pPr>
            <w:r/>
            <w:r>
              <w:rPr>
                <w:b w:val="0"/>
                <w:sz w:val="18"/>
              </w:rPr>
              <w:t>LST-03</w:t>
            </w:r>
          </w:p>
        </w:tc>
        <w:tc>
          <w:tcPr>
            <w:tcW w:type="dxa" w:w="4176"/>
          </w:tcPr>
          <w:p>
            <w:pPr>
              <w:spacing w:after="20"/>
            </w:pPr>
            <w:r/>
            <w:r>
              <w:rPr>
                <w:b w:val="0"/>
                <w:sz w:val="18"/>
              </w:rPr>
              <w:t>Card data matches the detail page</w:t>
            </w:r>
          </w:p>
        </w:tc>
        <w:tc>
          <w:tcPr>
            <w:tcW w:type="dxa" w:w="3168"/>
          </w:tcPr>
          <w:p>
            <w:pPr>
              <w:spacing w:after="20"/>
            </w:pPr>
            <w:r/>
            <w:r>
              <w:rPr>
                <w:b w:val="0"/>
                <w:sz w:val="18"/>
              </w:rPr>
              <w:t>Wrong data misleads candidates</w:t>
            </w:r>
          </w:p>
        </w:tc>
        <w:tc>
          <w:tcPr>
            <w:tcW w:type="dxa" w:w="1296"/>
          </w:tcPr>
          <w:p>
            <w:pPr>
              <w:spacing w:after="20"/>
            </w:pPr>
            <w:r/>
            <w:r>
              <w:rPr>
                <w:b w:val="0"/>
                <w:sz w:val="18"/>
              </w:rPr>
              <w:t>Manual</w:t>
            </w:r>
          </w:p>
        </w:tc>
      </w:tr>
      <w:tr>
        <w:trPr>
          <w:cantSplit/>
        </w:trPr>
        <w:tc>
          <w:tcPr>
            <w:tcW w:type="dxa" w:w="1152"/>
          </w:tcPr>
          <w:p>
            <w:pPr>
              <w:spacing w:after="20"/>
            </w:pPr>
            <w:r/>
            <w:r>
              <w:rPr>
                <w:b w:val="0"/>
                <w:sz w:val="18"/>
              </w:rPr>
              <w:t>LST-04</w:t>
            </w:r>
          </w:p>
        </w:tc>
        <w:tc>
          <w:tcPr>
            <w:tcW w:type="dxa" w:w="4176"/>
          </w:tcPr>
          <w:p>
            <w:pPr>
              <w:spacing w:after="20"/>
            </w:pPr>
            <w:r/>
            <w:r>
              <w:rPr>
                <w:b w:val="0"/>
                <w:sz w:val="18"/>
              </w:rPr>
              <w:t>Level and Remote filters return the right counts</w:t>
            </w:r>
          </w:p>
        </w:tc>
        <w:tc>
          <w:tcPr>
            <w:tcW w:type="dxa" w:w="3168"/>
          </w:tcPr>
          <w:p>
            <w:pPr>
              <w:spacing w:after="20"/>
            </w:pPr>
            <w:r/>
            <w:r>
              <w:rPr>
                <w:b w:val="0"/>
                <w:sz w:val="18"/>
              </w:rPr>
              <w:t>Main way to narrow the list</w:t>
            </w:r>
          </w:p>
        </w:tc>
        <w:tc>
          <w:tcPr>
            <w:tcW w:type="dxa" w:w="1296"/>
          </w:tcPr>
          <w:p>
            <w:pPr>
              <w:spacing w:after="20"/>
            </w:pPr>
            <w:r/>
            <w:r>
              <w:rPr>
                <w:b w:val="0"/>
                <w:sz w:val="18"/>
              </w:rPr>
              <w:t>Manual</w:t>
            </w:r>
          </w:p>
        </w:tc>
      </w:tr>
      <w:tr>
        <w:trPr>
          <w:cantSplit/>
        </w:trPr>
        <w:tc>
          <w:tcPr>
            <w:tcW w:type="dxa" w:w="1152"/>
          </w:tcPr>
          <w:p>
            <w:pPr>
              <w:spacing w:after="20"/>
            </w:pPr>
            <w:r/>
            <w:r>
              <w:rPr>
                <w:b w:val="0"/>
                <w:sz w:val="18"/>
              </w:rPr>
              <w:t>LST-05</w:t>
            </w:r>
          </w:p>
        </w:tc>
        <w:tc>
          <w:tcPr>
            <w:tcW w:type="dxa" w:w="4176"/>
          </w:tcPr>
          <w:p>
            <w:pPr>
              <w:spacing w:after="20"/>
            </w:pPr>
            <w:r/>
            <w:r>
              <w:rPr>
                <w:b w:val="0"/>
                <w:sz w:val="18"/>
              </w:rPr>
              <w:t>Search finds the right job</w:t>
            </w:r>
          </w:p>
        </w:tc>
        <w:tc>
          <w:tcPr>
            <w:tcW w:type="dxa" w:w="3168"/>
          </w:tcPr>
          <w:p>
            <w:pPr>
              <w:spacing w:after="20"/>
            </w:pPr>
            <w:r/>
            <w:r>
              <w:rPr>
                <w:b w:val="0"/>
                <w:sz w:val="18"/>
              </w:rPr>
              <w:t>Main way to find a job</w:t>
            </w:r>
          </w:p>
        </w:tc>
        <w:tc>
          <w:tcPr>
            <w:tcW w:type="dxa" w:w="1296"/>
          </w:tcPr>
          <w:p>
            <w:pPr>
              <w:spacing w:after="20"/>
            </w:pPr>
            <w:r/>
            <w:r>
              <w:rPr>
                <w:b w:val="0"/>
                <w:sz w:val="18"/>
              </w:rPr>
              <w:t>Manual</w:t>
            </w:r>
          </w:p>
        </w:tc>
      </w:tr>
      <w:tr>
        <w:trPr>
          <w:cantSplit/>
        </w:trPr>
        <w:tc>
          <w:tcPr>
            <w:tcW w:type="dxa" w:w="1152"/>
          </w:tcPr>
          <w:p>
            <w:pPr>
              <w:spacing w:after="20"/>
            </w:pPr>
            <w:r/>
            <w:r>
              <w:rPr>
                <w:b w:val="0"/>
                <w:sz w:val="18"/>
              </w:rPr>
              <w:t>LST-07</w:t>
            </w:r>
          </w:p>
        </w:tc>
        <w:tc>
          <w:tcPr>
            <w:tcW w:type="dxa" w:w="4176"/>
          </w:tcPr>
          <w:p>
            <w:pPr>
              <w:spacing w:after="20"/>
            </w:pPr>
            <w:r/>
            <w:r>
              <w:rPr>
                <w:b w:val="0"/>
                <w:sz w:val="18"/>
              </w:rPr>
              <w:t>Job links open the right role and Back keeps filters</w:t>
            </w:r>
          </w:p>
        </w:tc>
        <w:tc>
          <w:tcPr>
            <w:tcW w:type="dxa" w:w="3168"/>
          </w:tcPr>
          <w:p>
            <w:pPr>
              <w:spacing w:after="20"/>
            </w:pPr>
            <w:r/>
            <w:r>
              <w:rPr>
                <w:b w:val="0"/>
                <w:sz w:val="18"/>
              </w:rPr>
              <w:t>Core navigation</w:t>
            </w:r>
          </w:p>
        </w:tc>
        <w:tc>
          <w:tcPr>
            <w:tcW w:type="dxa" w:w="1296"/>
          </w:tcPr>
          <w:p>
            <w:pPr>
              <w:spacing w:after="20"/>
            </w:pPr>
            <w:r/>
            <w:r>
              <w:rPr>
                <w:b w:val="0"/>
                <w:sz w:val="18"/>
              </w:rPr>
              <w:t>Manual</w:t>
            </w:r>
          </w:p>
        </w:tc>
      </w:tr>
      <w:tr>
        <w:trPr>
          <w:cantSplit/>
        </w:trPr>
        <w:tc>
          <w:tcPr>
            <w:tcW w:type="dxa" w:w="1152"/>
          </w:tcPr>
          <w:p>
            <w:pPr>
              <w:spacing w:after="20"/>
            </w:pPr>
            <w:r/>
            <w:r>
              <w:rPr>
                <w:b w:val="0"/>
                <w:sz w:val="18"/>
              </w:rPr>
              <w:t>LST-15</w:t>
            </w:r>
          </w:p>
        </w:tc>
        <w:tc>
          <w:tcPr>
            <w:tcW w:type="dxa" w:w="4176"/>
          </w:tcPr>
          <w:p>
            <w:pPr>
              <w:spacing w:after="20"/>
            </w:pPr>
            <w:r/>
            <w:r>
              <w:rPr>
                <w:b w:val="0"/>
                <w:sz w:val="18"/>
              </w:rPr>
              <w:t>Filter button opens the filter options</w:t>
            </w:r>
          </w:p>
        </w:tc>
        <w:tc>
          <w:tcPr>
            <w:tcW w:type="dxa" w:w="3168"/>
          </w:tcPr>
          <w:p>
            <w:pPr>
              <w:spacing w:after="20"/>
            </w:pPr>
            <w:r/>
            <w:r>
              <w:rPr>
                <w:b w:val="0"/>
                <w:sz w:val="18"/>
              </w:rPr>
              <w:t>A visible control must work</w:t>
            </w:r>
          </w:p>
        </w:tc>
        <w:tc>
          <w:tcPr>
            <w:tcW w:type="dxa" w:w="1296"/>
          </w:tcPr>
          <w:p>
            <w:pPr>
              <w:spacing w:after="20"/>
            </w:pPr>
            <w:r/>
            <w:r>
              <w:rPr>
                <w:b w:val="0"/>
                <w:sz w:val="18"/>
              </w:rPr>
              <w:t>Manual</w:t>
            </w:r>
          </w:p>
        </w:tc>
      </w:tr>
      <w:tr>
        <w:trPr>
          <w:cantSplit/>
        </w:trPr>
        <w:tc>
          <w:tcPr>
            <w:tcW w:type="dxa" w:w="1152"/>
          </w:tcPr>
          <w:p>
            <w:pPr>
              <w:spacing w:after="20"/>
            </w:pPr>
            <w:r/>
            <w:r>
              <w:rPr>
                <w:b w:val="0"/>
                <w:sz w:val="18"/>
              </w:rPr>
              <w:t>LST-16</w:t>
            </w:r>
          </w:p>
        </w:tc>
        <w:tc>
          <w:tcPr>
            <w:tcW w:type="dxa" w:w="4176"/>
          </w:tcPr>
          <w:p>
            <w:pPr>
              <w:spacing w:after="20"/>
            </w:pPr>
            <w:r/>
            <w:r>
              <w:rPr>
                <w:b w:val="0"/>
                <w:sz w:val="18"/>
              </w:rPr>
              <w:t>Detail page shows description, responsibilities and requirements</w:t>
            </w:r>
          </w:p>
        </w:tc>
        <w:tc>
          <w:tcPr>
            <w:tcW w:type="dxa" w:w="3168"/>
          </w:tcPr>
          <w:p>
            <w:pPr>
              <w:spacing w:after="20"/>
            </w:pPr>
            <w:r/>
            <w:r>
              <w:rPr>
                <w:b w:val="0"/>
                <w:sz w:val="18"/>
              </w:rPr>
              <w:t>The brief says candidates view requirements</w:t>
            </w:r>
          </w:p>
        </w:tc>
        <w:tc>
          <w:tcPr>
            <w:tcW w:type="dxa" w:w="1296"/>
          </w:tcPr>
          <w:p>
            <w:pPr>
              <w:spacing w:after="20"/>
            </w:pPr>
            <w:r/>
            <w:r>
              <w:rPr>
                <w:b w:val="0"/>
                <w:sz w:val="18"/>
              </w:rPr>
              <w:t>Manual</w:t>
            </w:r>
          </w:p>
        </w:tc>
      </w:tr>
      <w:tr>
        <w:trPr>
          <w:cantSplit/>
        </w:trPr>
        <w:tc>
          <w:tcPr>
            <w:tcW w:type="dxa" w:w="1152"/>
          </w:tcPr>
          <w:p>
            <w:pPr>
              <w:spacing w:after="20"/>
            </w:pPr>
            <w:r/>
            <w:r>
              <w:rPr>
                <w:b w:val="0"/>
                <w:sz w:val="18"/>
              </w:rPr>
              <w:t>LST-21</w:t>
            </w:r>
          </w:p>
        </w:tc>
        <w:tc>
          <w:tcPr>
            <w:tcW w:type="dxa" w:w="4176"/>
          </w:tcPr>
          <w:p>
            <w:pPr>
              <w:spacing w:after="20"/>
            </w:pPr>
            <w:r/>
            <w:r>
              <w:rPr>
                <w:b w:val="0"/>
                <w:sz w:val="18"/>
              </w:rPr>
              <w:t>Signed-out user is asked to sign in and nothing is submitted</w:t>
            </w:r>
          </w:p>
        </w:tc>
        <w:tc>
          <w:tcPr>
            <w:tcW w:type="dxa" w:w="3168"/>
          </w:tcPr>
          <w:p>
            <w:pPr>
              <w:spacing w:after="20"/>
            </w:pPr>
            <w:r/>
            <w:r>
              <w:rPr>
                <w:b w:val="0"/>
                <w:sz w:val="18"/>
              </w:rPr>
              <w:t>Gate to the apply flow</w:t>
            </w:r>
          </w:p>
        </w:tc>
        <w:tc>
          <w:tcPr>
            <w:tcW w:type="dxa" w:w="1296"/>
          </w:tcPr>
          <w:p>
            <w:pPr>
              <w:spacing w:after="20"/>
            </w:pPr>
            <w:r/>
            <w:r>
              <w:rPr>
                <w:b w:val="0"/>
                <w:sz w:val="18"/>
              </w:rPr>
              <w:t>Manual</w:t>
            </w:r>
          </w:p>
        </w:tc>
      </w:tr>
    </w:tbl>
    <w:p>
      <w:pPr>
        <w:spacing w:after="40"/>
      </w:pPr>
    </w:p>
    <w:p>
      <w:pPr>
        <w:pStyle w:val="Heading2"/>
      </w:pPr>
      <w:r>
        <w:t>Medium and low priority</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1728"/>
        <w:gridCol w:w="8064"/>
      </w:tblGrid>
      <w:tr>
        <w:trPr>
          <w:tblHeader w:val="true"/>
          <w:cantSplit/>
        </w:trPr>
        <w:tc>
          <w:tcPr>
            <w:tcW w:type="dxa" w:w="1728"/>
            <w:shd w:val="clear" w:color="auto" w:fill="1F3A5F"/>
          </w:tcPr>
          <w:p>
            <w:pPr>
              <w:spacing w:after="20"/>
            </w:pPr>
            <w:r/>
            <w:r>
              <w:rPr>
                <w:b/>
                <w:color w:val="FFFFFF"/>
                <w:sz w:val="19"/>
              </w:rPr>
              <w:t>Priority</w:t>
            </w:r>
          </w:p>
        </w:tc>
        <w:tc>
          <w:tcPr>
            <w:tcW w:type="dxa" w:w="8064"/>
            <w:shd w:val="clear" w:color="auto" w:fill="1F3A5F"/>
          </w:tcPr>
          <w:p>
            <w:pPr>
              <w:spacing w:after="20"/>
            </w:pPr>
            <w:r/>
            <w:r>
              <w:rPr>
                <w:b/>
                <w:color w:val="FFFFFF"/>
                <w:sz w:val="19"/>
              </w:rPr>
              <w:t>Cases</w:t>
            </w:r>
          </w:p>
        </w:tc>
      </w:tr>
      <w:tr>
        <w:trPr>
          <w:cantSplit/>
        </w:trPr>
        <w:tc>
          <w:tcPr>
            <w:tcW w:type="dxa" w:w="1728"/>
          </w:tcPr>
          <w:p>
            <w:pPr>
              <w:spacing w:after="20"/>
            </w:pPr>
            <w:r/>
            <w:r>
              <w:rPr>
                <w:b w:val="0"/>
                <w:sz w:val="19"/>
              </w:rPr>
              <w:t>Medium (P2)</w:t>
            </w:r>
          </w:p>
        </w:tc>
        <w:tc>
          <w:tcPr>
            <w:tcW w:type="dxa" w:w="8064"/>
          </w:tcPr>
          <w:p>
            <w:pPr>
              <w:spacing w:after="20"/>
            </w:pPr>
            <w:r/>
            <w:r>
              <w:rPr>
                <w:b w:val="0"/>
                <w:sz w:val="19"/>
              </w:rPr>
              <w:t>Manual: LST-02, LST-06, LST-08, LST-11, LST-12, LST-13, LST-17, LST-18, LST-20, XBR-04</w:t>
            </w:r>
          </w:p>
          <w:p>
            <w:pPr>
              <w:spacing w:after="20"/>
            </w:pPr>
            <w:r>
              <w:rPr>
                <w:b w:val="0"/>
                <w:sz w:val="19"/>
              </w:rPr>
              <w:t>Automated: VAL-03, VAL-05, VAL-06, VAL-07, VAL-08, SUB-04, ERR-03, ERR-04, XBR-02</w:t>
            </w:r>
          </w:p>
        </w:tc>
      </w:tr>
      <w:tr>
        <w:trPr>
          <w:cantSplit/>
        </w:trPr>
        <w:tc>
          <w:tcPr>
            <w:tcW w:type="dxa" w:w="1728"/>
          </w:tcPr>
          <w:p>
            <w:pPr>
              <w:spacing w:after="20"/>
            </w:pPr>
            <w:r/>
            <w:r>
              <w:rPr>
                <w:b w:val="0"/>
                <w:sz w:val="19"/>
              </w:rPr>
              <w:t>Low (P3)</w:t>
            </w:r>
          </w:p>
        </w:tc>
        <w:tc>
          <w:tcPr>
            <w:tcW w:type="dxa" w:w="8064"/>
          </w:tcPr>
          <w:p>
            <w:pPr>
              <w:spacing w:after="20"/>
            </w:pPr>
            <w:r/>
            <w:r>
              <w:rPr>
                <w:b w:val="0"/>
                <w:sz w:val="19"/>
              </w:rPr>
              <w:t>Manual: LST-09, LST-10, LST-19</w:t>
            </w:r>
          </w:p>
          <w:p>
            <w:pPr>
              <w:spacing w:after="20"/>
            </w:pPr>
            <w:r>
              <w:rPr>
                <w:b w:val="0"/>
                <w:sz w:val="19"/>
              </w:rPr>
              <w:t>Automated: SUB-05</w:t>
            </w:r>
          </w:p>
        </w:tc>
      </w:tr>
    </w:tbl>
    <w:p>
      <w:pPr>
        <w:spacing w:after="40"/>
      </w:pPr>
    </w:p>
    <w:p>
      <w:r>
        <w:rPr>
          <w:b w:val="0"/>
          <w:i w:val="0"/>
        </w:rPr>
        <w:t>Full steps, expected and actual results are in the Manual Test Cases and Automated Test Cases documents.</w:t>
      </w:r>
    </w:p>
    <w:p>
      <w:pPr>
        <w:pStyle w:val="Heading1"/>
      </w:pPr>
      <w:r>
        <w:t>5. Cross-browser and compatibility checks</w:t>
      </w:r>
    </w:p>
    <w:p>
      <w:r>
        <w:rPr>
          <w:b w:val="0"/>
          <w:i w:val="0"/>
        </w:rPr>
        <w:t>These are the checks that matter most, because the three engines differ most in exactly these places.</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3888"/>
        <w:gridCol w:w="3744"/>
        <w:gridCol w:w="2160"/>
      </w:tblGrid>
      <w:tr>
        <w:trPr>
          <w:tblHeader w:val="true"/>
          <w:cantSplit/>
        </w:trPr>
        <w:tc>
          <w:tcPr>
            <w:tcW w:type="dxa" w:w="3888"/>
            <w:shd w:val="clear" w:color="auto" w:fill="1F3A5F"/>
          </w:tcPr>
          <w:p>
            <w:pPr>
              <w:spacing w:after="20"/>
            </w:pPr>
            <w:r/>
            <w:r>
              <w:rPr>
                <w:b/>
                <w:color w:val="FFFFFF"/>
                <w:sz w:val="19"/>
              </w:rPr>
              <w:t>Check</w:t>
            </w:r>
          </w:p>
        </w:tc>
        <w:tc>
          <w:tcPr>
            <w:tcW w:type="dxa" w:w="3744"/>
            <w:shd w:val="clear" w:color="auto" w:fill="1F3A5F"/>
          </w:tcPr>
          <w:p>
            <w:pPr>
              <w:spacing w:after="20"/>
            </w:pPr>
            <w:r/>
            <w:r>
              <w:rPr>
                <w:b/>
                <w:color w:val="FFFFFF"/>
                <w:sz w:val="19"/>
              </w:rPr>
              <w:t>Why it matters</w:t>
            </w:r>
          </w:p>
        </w:tc>
        <w:tc>
          <w:tcPr>
            <w:tcW w:type="dxa" w:w="2160"/>
            <w:shd w:val="clear" w:color="auto" w:fill="1F3A5F"/>
          </w:tcPr>
          <w:p>
            <w:pPr>
              <w:spacing w:after="20"/>
            </w:pPr>
            <w:r/>
            <w:r>
              <w:rPr>
                <w:b/>
                <w:color w:val="FFFFFF"/>
                <w:sz w:val="19"/>
              </w:rPr>
              <w:t>Covered by</w:t>
            </w:r>
          </w:p>
        </w:tc>
      </w:tr>
      <w:tr>
        <w:trPr>
          <w:cantSplit/>
        </w:trPr>
        <w:tc>
          <w:tcPr>
            <w:tcW w:type="dxa" w:w="3888"/>
          </w:tcPr>
          <w:p>
            <w:pPr>
              <w:spacing w:after="20"/>
            </w:pPr>
            <w:r/>
            <w:r>
              <w:rPr>
                <w:b w:val="0"/>
                <w:sz w:val="19"/>
              </w:rPr>
              <w:t>Whole suite on Chromium, Firefox and WebKit (Safari engine)</w:t>
            </w:r>
          </w:p>
        </w:tc>
        <w:tc>
          <w:tcPr>
            <w:tcW w:type="dxa" w:w="3744"/>
          </w:tcPr>
          <w:p>
            <w:pPr>
              <w:spacing w:after="20"/>
            </w:pPr>
            <w:r/>
            <w:r>
              <w:rPr>
                <w:b w:val="0"/>
                <w:sz w:val="19"/>
              </w:rPr>
              <w:t>Different engines handle forms, focus and validation differently</w:t>
            </w:r>
          </w:p>
        </w:tc>
        <w:tc>
          <w:tcPr>
            <w:tcW w:type="dxa" w:w="2160"/>
          </w:tcPr>
          <w:p>
            <w:pPr>
              <w:spacing w:after="20"/>
            </w:pPr>
            <w:r/>
            <w:r>
              <w:rPr>
                <w:b w:val="0"/>
                <w:sz w:val="19"/>
              </w:rPr>
              <w:t>XBR-01, all Playwright tests</w:t>
            </w:r>
          </w:p>
        </w:tc>
      </w:tr>
      <w:tr>
        <w:trPr>
          <w:cantSplit/>
        </w:trPr>
        <w:tc>
          <w:tcPr>
            <w:tcW w:type="dxa" w:w="3888"/>
          </w:tcPr>
          <w:p>
            <w:pPr>
              <w:spacing w:after="20"/>
            </w:pPr>
            <w:r/>
            <w:r>
              <w:rPr>
                <w:b w:val="0"/>
                <w:sz w:val="19"/>
              </w:rPr>
              <w:t>Validation messages and focus move to the first invalid field</w:t>
            </w:r>
          </w:p>
        </w:tc>
        <w:tc>
          <w:tcPr>
            <w:tcW w:type="dxa" w:w="3744"/>
          </w:tcPr>
          <w:p>
            <w:pPr>
              <w:spacing w:after="20"/>
            </w:pPr>
            <w:r/>
            <w:r>
              <w:rPr>
                <w:b w:val="0"/>
                <w:sz w:val="19"/>
              </w:rPr>
              <w:t>Focus behaviour differs between engines</w:t>
            </w:r>
          </w:p>
        </w:tc>
        <w:tc>
          <w:tcPr>
            <w:tcW w:type="dxa" w:w="2160"/>
          </w:tcPr>
          <w:p>
            <w:pPr>
              <w:spacing w:after="20"/>
            </w:pPr>
            <w:r/>
            <w:r>
              <w:rPr>
                <w:b w:val="0"/>
                <w:sz w:val="19"/>
              </w:rPr>
              <w:t>VAL-01</w:t>
            </w:r>
          </w:p>
        </w:tc>
      </w:tr>
      <w:tr>
        <w:trPr>
          <w:cantSplit/>
        </w:trPr>
        <w:tc>
          <w:tcPr>
            <w:tcW w:type="dxa" w:w="3888"/>
          </w:tcPr>
          <w:p>
            <w:pPr>
              <w:spacing w:after="20"/>
            </w:pPr>
            <w:r/>
            <w:r>
              <w:rPr>
                <w:b w:val="0"/>
                <w:sz w:val="19"/>
              </w:rPr>
              <w:t>Submit button is disabled while a request is pending</w:t>
            </w:r>
          </w:p>
        </w:tc>
        <w:tc>
          <w:tcPr>
            <w:tcW w:type="dxa" w:w="3744"/>
          </w:tcPr>
          <w:p>
            <w:pPr>
              <w:spacing w:after="20"/>
            </w:pPr>
            <w:r/>
            <w:r>
              <w:rPr>
                <w:b w:val="0"/>
                <w:sz w:val="19"/>
              </w:rPr>
              <w:t>Double-submit protection must work everywhere</w:t>
            </w:r>
          </w:p>
        </w:tc>
        <w:tc>
          <w:tcPr>
            <w:tcW w:type="dxa" w:w="2160"/>
          </w:tcPr>
          <w:p>
            <w:pPr>
              <w:spacing w:after="20"/>
            </w:pPr>
            <w:r/>
            <w:r>
              <w:rPr>
                <w:b w:val="0"/>
                <w:sz w:val="19"/>
              </w:rPr>
              <w:t>SUB-02</w:t>
            </w:r>
          </w:p>
        </w:tc>
      </w:tr>
      <w:tr>
        <w:trPr>
          <w:cantSplit/>
        </w:trPr>
        <w:tc>
          <w:tcPr>
            <w:tcW w:type="dxa" w:w="3888"/>
          </w:tcPr>
          <w:p>
            <w:pPr>
              <w:spacing w:after="20"/>
            </w:pPr>
            <w:r/>
            <w:r>
              <w:rPr>
                <w:b w:val="0"/>
                <w:sz w:val="19"/>
              </w:rPr>
              <w:t>Enter key submits once</w:t>
            </w:r>
          </w:p>
        </w:tc>
        <w:tc>
          <w:tcPr>
            <w:tcW w:type="dxa" w:w="3744"/>
          </w:tcPr>
          <w:p>
            <w:pPr>
              <w:spacing w:after="20"/>
            </w:pPr>
            <w:r/>
            <w:r>
              <w:rPr>
                <w:b w:val="0"/>
                <w:sz w:val="19"/>
              </w:rPr>
              <w:t>Keyboard users</w:t>
            </w:r>
          </w:p>
        </w:tc>
        <w:tc>
          <w:tcPr>
            <w:tcW w:type="dxa" w:w="2160"/>
          </w:tcPr>
          <w:p>
            <w:pPr>
              <w:spacing w:after="20"/>
            </w:pPr>
            <w:r/>
            <w:r>
              <w:rPr>
                <w:b w:val="0"/>
                <w:sz w:val="19"/>
              </w:rPr>
              <w:t>SUB-05</w:t>
            </w:r>
          </w:p>
        </w:tc>
      </w:tr>
      <w:tr>
        <w:trPr>
          <w:cantSplit/>
        </w:trPr>
        <w:tc>
          <w:tcPr>
            <w:tcW w:type="dxa" w:w="3888"/>
          </w:tcPr>
          <w:p>
            <w:pPr>
              <w:spacing w:after="20"/>
            </w:pPr>
            <w:r/>
            <w:r>
              <w:rPr>
                <w:b w:val="0"/>
                <w:sz w:val="19"/>
              </w:rPr>
              <w:t>Tamil and other non-English text is stored and shown unchanged</w:t>
            </w:r>
          </w:p>
        </w:tc>
        <w:tc>
          <w:tcPr>
            <w:tcW w:type="dxa" w:w="3744"/>
          </w:tcPr>
          <w:p>
            <w:pPr>
              <w:spacing w:after="20"/>
            </w:pPr>
            <w:r/>
            <w:r>
              <w:rPr>
                <w:b w:val="0"/>
                <w:sz w:val="19"/>
              </w:rPr>
              <w:t>Font and encoding differences</w:t>
            </w:r>
          </w:p>
        </w:tc>
        <w:tc>
          <w:tcPr>
            <w:tcW w:type="dxa" w:w="2160"/>
          </w:tcPr>
          <w:p>
            <w:pPr>
              <w:spacing w:after="20"/>
            </w:pPr>
            <w:r/>
            <w:r>
              <w:rPr>
                <w:b w:val="0"/>
                <w:sz w:val="19"/>
              </w:rPr>
              <w:t>VAL-08</w:t>
            </w:r>
          </w:p>
        </w:tc>
      </w:tr>
      <w:tr>
        <w:trPr>
          <w:cantSplit/>
        </w:trPr>
        <w:tc>
          <w:tcPr>
            <w:tcW w:type="dxa" w:w="3888"/>
          </w:tcPr>
          <w:p>
            <w:pPr>
              <w:spacing w:after="20"/>
            </w:pPr>
            <w:r/>
            <w:r>
              <w:rPr>
                <w:b w:val="0"/>
                <w:sz w:val="19"/>
              </w:rPr>
              <w:t>No sideways scrolling and a tappable button at 375 px</w:t>
            </w:r>
          </w:p>
        </w:tc>
        <w:tc>
          <w:tcPr>
            <w:tcW w:type="dxa" w:w="3744"/>
          </w:tcPr>
          <w:p>
            <w:pPr>
              <w:spacing w:after="20"/>
            </w:pPr>
            <w:r/>
            <w:r>
              <w:rPr>
                <w:b w:val="0"/>
                <w:sz w:val="19"/>
              </w:rPr>
              <w:t>Most candidates apply from a phone</w:t>
            </w:r>
          </w:p>
        </w:tc>
        <w:tc>
          <w:tcPr>
            <w:tcW w:type="dxa" w:w="2160"/>
          </w:tcPr>
          <w:p>
            <w:pPr>
              <w:spacing w:after="20"/>
            </w:pPr>
            <w:r/>
            <w:r>
              <w:rPr>
                <w:b w:val="0"/>
                <w:sz w:val="19"/>
              </w:rPr>
              <w:t>XBR-02 (form), XBR-04 (live listing)</w:t>
            </w:r>
          </w:p>
        </w:tc>
      </w:tr>
      <w:tr>
        <w:trPr>
          <w:cantSplit/>
        </w:trPr>
        <w:tc>
          <w:tcPr>
            <w:tcW w:type="dxa" w:w="3888"/>
          </w:tcPr>
          <w:p>
            <w:pPr>
              <w:spacing w:after="20"/>
            </w:pPr>
            <w:r/>
            <w:r>
              <w:rPr>
                <w:b w:val="0"/>
                <w:sz w:val="19"/>
              </w:rPr>
              <w:t>Real devices (iPhone Safari, Android Chrome) and Edge</w:t>
            </w:r>
          </w:p>
        </w:tc>
        <w:tc>
          <w:tcPr>
            <w:tcW w:type="dxa" w:w="3744"/>
          </w:tcPr>
          <w:p>
            <w:pPr>
              <w:spacing w:after="20"/>
            </w:pPr>
            <w:r/>
            <w:r>
              <w:rPr>
                <w:b w:val="0"/>
                <w:sz w:val="19"/>
              </w:rPr>
              <w:t>Emulation cannot show touch keyboards or autofill</w:t>
            </w:r>
          </w:p>
        </w:tc>
        <w:tc>
          <w:tcPr>
            <w:tcW w:type="dxa" w:w="2160"/>
          </w:tcPr>
          <w:p>
            <w:pPr>
              <w:spacing w:after="20"/>
            </w:pPr>
            <w:r/>
            <w:r>
              <w:rPr>
                <w:b w:val="0"/>
                <w:sz w:val="19"/>
              </w:rPr>
              <w:t>Not covered; recommended next step</w:t>
            </w:r>
          </w:p>
        </w:tc>
      </w:tr>
    </w:tbl>
    <w:p>
      <w:pPr>
        <w:spacing w:after="40"/>
      </w:pPr>
    </w:p>
    <w:p>
      <w:pPr>
        <w:pStyle w:val="Heading1"/>
      </w:pPr>
      <w:r>
        <w:t>6. Environment, entry and exit criteria</w:t>
      </w:r>
    </w:p>
    <w:p>
      <w:pPr>
        <w:pStyle w:val="ListBullet"/>
        <w:spacing w:after="40"/>
      </w:pPr>
      <w:r>
        <w:rPr>
          <w:b/>
        </w:rPr>
        <w:t xml:space="preserve">Environment: </w:t>
      </w:r>
      <w:r>
        <w:t>Node 18 or newer (developed on Node 22), Playwright 1.56.0, Cucumber 13, the three Playwright browsers. Setup steps are in the README.</w:t>
      </w:r>
    </w:p>
    <w:p>
      <w:pPr>
        <w:pStyle w:val="ListBullet"/>
        <w:spacing w:after="40"/>
      </w:pPr>
      <w:r>
        <w:rPr>
          <w:b/>
        </w:rPr>
        <w:t xml:space="preserve">Entry: </w:t>
      </w:r>
      <w:r>
        <w:t>the mock server starts and answers /healthz; the live portal is reachable.</w:t>
      </w:r>
    </w:p>
    <w:p>
      <w:pPr>
        <w:pStyle w:val="ListBullet"/>
        <w:spacing w:after="40"/>
      </w:pPr>
      <w:r>
        <w:rPr>
          <w:b/>
        </w:rPr>
        <w:t xml:space="preserve">Exit: </w:t>
      </w:r>
      <w:r>
        <w:t>all High priority cases have been run; every automated test passes on all three browsers; every failed manual case has a bug report with steps, expected and actual results, severity and evidence where possible.</w:t>
      </w:r>
    </w:p>
    <w:p>
      <w:pPr>
        <w:pStyle w:val="Heading1"/>
      </w:pPr>
      <w:r>
        <w:t>7. Risks, assumptions and limits</w:t>
      </w:r>
    </w:p>
    <w:p>
      <w:pPr>
        <w:pStyle w:val="ListBullet"/>
        <w:spacing w:after="40"/>
      </w:pPr>
      <w:r>
        <w:t>The mock form is a stand-in. It shows how the tests work, not how the real backend behaves.</w:t>
      </w:r>
    </w:p>
    <w:p>
      <w:pPr>
        <w:pStyle w:val="ListBullet"/>
        <w:spacing w:after="40"/>
      </w:pPr>
      <w:r>
        <w:t>Live-portal results depend on the data on the portal on the day of testing (job counts, salaries). They may change.</w:t>
      </w:r>
    </w:p>
    <w:p>
      <w:pPr>
        <w:pStyle w:val="ListBullet"/>
        <w:spacing w:after="40"/>
      </w:pPr>
      <w:r>
        <w:t>The live portal was tested while signed in, and the sign-in step itself was not exercised, to avoid creating data.</w:t>
      </w:r>
    </w:p>
    <w:p>
      <w:pPr>
        <w:pStyle w:val="ListBullet"/>
        <w:spacing w:after="40"/>
      </w:pPr>
      <w:r>
        <w:t>Load, performance and security penetration testing are out of scope, as the brief forbids load tests.</w:t>
      </w:r>
    </w:p>
    <w:p>
      <w:pPr>
        <w:pStyle w:val="ListBullet"/>
        <w:spacing w:after="40"/>
      </w:pPr>
      <w:r>
        <w:t>The assessment is limited to about 3 to 4 hours, so depth was chosen by priority: High first, then Medium, then Low.</w:t>
      </w:r>
    </w:p>
    <w:p>
      <w:pPr>
        <w:pStyle w:val="Heading1"/>
      </w:pPr>
      <w:r>
        <w:t>8. Deliverables</w:t>
      </w:r>
    </w:p>
    <w:tbl>
      <w:tblPr>
        <w:tblW w:type="auto" w:w="0"/>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6192"/>
        <w:gridCol w:w="3600"/>
      </w:tblGrid>
      <w:tr>
        <w:trPr>
          <w:tblHeader w:val="true"/>
          <w:cantSplit/>
        </w:trPr>
        <w:tc>
          <w:tcPr>
            <w:tcW w:type="dxa" w:w="6192"/>
            <w:shd w:val="clear" w:color="auto" w:fill="1F3A5F"/>
          </w:tcPr>
          <w:p>
            <w:pPr>
              <w:spacing w:after="20"/>
            </w:pPr>
            <w:r/>
            <w:r>
              <w:rPr>
                <w:b/>
                <w:color w:val="FFFFFF"/>
                <w:sz w:val="19"/>
              </w:rPr>
              <w:t>Deliverable</w:t>
            </w:r>
          </w:p>
        </w:tc>
        <w:tc>
          <w:tcPr>
            <w:tcW w:type="dxa" w:w="3600"/>
            <w:shd w:val="clear" w:color="auto" w:fill="1F3A5F"/>
          </w:tcPr>
          <w:p>
            <w:pPr>
              <w:spacing w:after="20"/>
            </w:pPr>
            <w:r/>
            <w:r>
              <w:rPr>
                <w:b/>
                <w:color w:val="FFFFFF"/>
                <w:sz w:val="19"/>
              </w:rPr>
              <w:t>Where</w:t>
            </w:r>
          </w:p>
        </w:tc>
      </w:tr>
      <w:tr>
        <w:trPr>
          <w:cantSplit/>
        </w:trPr>
        <w:tc>
          <w:tcPr>
            <w:tcW w:type="dxa" w:w="6192"/>
          </w:tcPr>
          <w:p>
            <w:pPr>
              <w:spacing w:after="20"/>
            </w:pPr>
            <w:r/>
            <w:r>
              <w:rPr>
                <w:b w:val="0"/>
                <w:sz w:val="19"/>
              </w:rPr>
              <w:t>Test plan</w:t>
            </w:r>
          </w:p>
        </w:tc>
        <w:tc>
          <w:tcPr>
            <w:tcW w:type="dxa" w:w="3600"/>
          </w:tcPr>
          <w:p>
            <w:pPr>
              <w:spacing w:after="20"/>
            </w:pPr>
            <w:r/>
            <w:r>
              <w:rPr>
                <w:b w:val="0"/>
                <w:sz w:val="19"/>
              </w:rPr>
              <w:t>docs/0_Test_Plan</w:t>
            </w:r>
          </w:p>
        </w:tc>
      </w:tr>
      <w:tr>
        <w:trPr>
          <w:cantSplit/>
        </w:trPr>
        <w:tc>
          <w:tcPr>
            <w:tcW w:type="dxa" w:w="6192"/>
          </w:tcPr>
          <w:p>
            <w:pPr>
              <w:spacing w:after="20"/>
            </w:pPr>
            <w:r/>
            <w:r>
              <w:rPr>
                <w:b w:val="0"/>
                <w:sz w:val="19"/>
              </w:rPr>
              <w:t>Manual test cases (21)</w:t>
            </w:r>
          </w:p>
        </w:tc>
        <w:tc>
          <w:tcPr>
            <w:tcW w:type="dxa" w:w="3600"/>
          </w:tcPr>
          <w:p>
            <w:pPr>
              <w:spacing w:after="20"/>
            </w:pPr>
            <w:r/>
            <w:r>
              <w:rPr>
                <w:b w:val="0"/>
                <w:sz w:val="19"/>
              </w:rPr>
              <w:t>docs/1_Manual_Test_Cases</w:t>
            </w:r>
          </w:p>
        </w:tc>
      </w:tr>
      <w:tr>
        <w:trPr>
          <w:cantSplit/>
        </w:trPr>
        <w:tc>
          <w:tcPr>
            <w:tcW w:type="dxa" w:w="6192"/>
          </w:tcPr>
          <w:p>
            <w:pPr>
              <w:spacing w:after="20"/>
            </w:pPr>
            <w:r/>
            <w:r>
              <w:rPr>
                <w:b w:val="0"/>
                <w:sz w:val="19"/>
              </w:rPr>
              <w:t>Automated test cases (19 documented, 39 Playwright tests, 38 Cucumber scenarios)</w:t>
            </w:r>
          </w:p>
        </w:tc>
        <w:tc>
          <w:tcPr>
            <w:tcW w:type="dxa" w:w="3600"/>
          </w:tcPr>
          <w:p>
            <w:pPr>
              <w:spacing w:after="20"/>
            </w:pPr>
            <w:r/>
            <w:r>
              <w:rPr>
                <w:b w:val="0"/>
                <w:sz w:val="19"/>
              </w:rPr>
              <w:t>docs/2_Automated_Test_Cases and tests/</w:t>
            </w:r>
          </w:p>
        </w:tc>
      </w:tr>
      <w:tr>
        <w:trPr>
          <w:cantSplit/>
        </w:trPr>
        <w:tc>
          <w:tcPr>
            <w:tcW w:type="dxa" w:w="6192"/>
          </w:tcPr>
          <w:p>
            <w:pPr>
              <w:spacing w:after="20"/>
            </w:pPr>
            <w:r/>
            <w:r>
              <w:rPr>
                <w:b w:val="0"/>
                <w:sz w:val="19"/>
              </w:rPr>
              <w:t>Bug reports (8)</w:t>
            </w:r>
          </w:p>
        </w:tc>
        <w:tc>
          <w:tcPr>
            <w:tcW w:type="dxa" w:w="3600"/>
          </w:tcPr>
          <w:p>
            <w:pPr>
              <w:spacing w:after="20"/>
            </w:pPr>
            <w:r/>
            <w:r>
              <w:rPr>
                <w:b w:val="0"/>
                <w:sz w:val="19"/>
              </w:rPr>
              <w:t>docs/3_Bug_Reports</w:t>
            </w:r>
          </w:p>
        </w:tc>
      </w:tr>
      <w:tr>
        <w:trPr>
          <w:cantSplit/>
        </w:trPr>
        <w:tc>
          <w:tcPr>
            <w:tcW w:type="dxa" w:w="6192"/>
          </w:tcPr>
          <w:p>
            <w:pPr>
              <w:spacing w:after="20"/>
            </w:pPr>
            <w:r/>
            <w:r>
              <w:rPr>
                <w:b w:val="0"/>
                <w:sz w:val="19"/>
              </w:rPr>
              <w:t>Setup and results</w:t>
            </w:r>
          </w:p>
        </w:tc>
        <w:tc>
          <w:tcPr>
            <w:tcW w:type="dxa" w:w="3600"/>
          </w:tcPr>
          <w:p>
            <w:pPr>
              <w:spacing w:after="20"/>
            </w:pPr>
            <w:r/>
            <w:r>
              <w:rPr>
                <w:b w:val="0"/>
                <w:sz w:val="19"/>
              </w:rPr>
              <w:t>README.md</w:t>
            </w:r>
          </w:p>
        </w:tc>
      </w:tr>
      <w:tr>
        <w:trPr>
          <w:cantSplit/>
        </w:trPr>
        <w:tc>
          <w:tcPr>
            <w:tcW w:type="dxa" w:w="6192"/>
          </w:tcPr>
          <w:p>
            <w:pPr>
              <w:spacing w:after="20"/>
            </w:pPr>
            <w:r/>
            <w:r>
              <w:rPr>
                <w:b w:val="0"/>
                <w:sz w:val="19"/>
              </w:rPr>
              <w:t>Screenshots</w:t>
            </w:r>
          </w:p>
        </w:tc>
        <w:tc>
          <w:tcPr>
            <w:tcW w:type="dxa" w:w="3600"/>
          </w:tcPr>
          <w:p>
            <w:pPr>
              <w:spacing w:after="20"/>
            </w:pPr>
            <w:r/>
            <w:r>
              <w:rPr>
                <w:b w:val="0"/>
                <w:sz w:val="19"/>
              </w:rPr>
              <w:t>evidence/live-portal and evidence/automation</w:t>
            </w:r>
          </w:p>
        </w:tc>
      </w:tr>
    </w:tbl>
    <w:p>
      <w:pPr>
        <w:spacing w:after="40"/>
      </w:pPr>
    </w:p>
    <w:sectPr w:rsidR="00FC693F" w:rsidRPr="0006063C" w:rsidSect="00034616">
      <w:footerReference w:type="default" r:id="rId9"/>
      <w:pgSz w:w="11906"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HireKiwi QA Engineer Assessment | Test Plan  |  Page </w:t>
    </w:r>
    <w:r>
      <w:rPr>
        <w:color w:val="6B7280"/>
        <w:sz w:val="17"/>
      </w:rPr>
      <w:fldChar w:fldCharType="begin"/>
    </w:r>
    <w:r>
      <w:rPr>
        <w:color w:val="6B7280"/>
        <w:sz w:val="17"/>
      </w:rPr>
      <w:instrText xml:space="preserve"> PAGE </w:instrText>
    </w:r>
    <w:r>
      <w:rPr>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