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/>
      </w:pPr>
      <w:r>
        <w:rPr>
          <w:b/>
          <w:i w:val="0"/>
          <w:sz w:val="32"/>
        </w:rPr>
        <w:t>Слайд 1 – Титульный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i w:val="0"/>
              </w:rPr>
              <w:t>Заголовок: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ITFM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i w:val="0"/>
              </w:rPr>
              <w:t>Подзаголовок: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Виктория • 25 июня 2026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32"/>
        </w:rPr>
        <w:t>Слайд 2 – Что такое IT Financial Management?</w:t>
      </w:r>
    </w:p>
    <w:p>
      <w:pPr>
        <w:pStyle w:val="ListBullet"/>
        <w:spacing w:after="40"/>
      </w:pPr>
      <w:r>
        <w:rPr>
          <w:b w:val="0"/>
          <w:i w:val="0"/>
        </w:rPr>
        <w:t>Управление затратами и прозрачностью ИТ</w:t>
      </w:r>
    </w:p>
    <w:p>
      <w:pPr>
        <w:pStyle w:val="ListBullet"/>
        <w:spacing w:after="40"/>
      </w:pPr>
      <w:r>
        <w:rPr>
          <w:b w:val="0"/>
          <w:i w:val="0"/>
        </w:rPr>
        <w:t>Связь ИТ-услуг с финансовой моделью бизнеса</w:t>
      </w:r>
    </w:p>
    <w:p>
      <w:pPr>
        <w:pStyle w:val="Heading1"/>
        <w:spacing w:before="200" w:after="120"/>
      </w:pPr>
      <w:r>
        <w:rPr>
          <w:b/>
          <w:i w:val="0"/>
          <w:sz w:val="32"/>
        </w:rPr>
        <w:t>Слайд 3 –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i w:val="0"/>
              </w:rPr>
              <w:t>Роль</w:t>
            </w:r>
          </w:p>
        </w:tc>
        <w:tc>
          <w:tcPr>
            <w:tcW w:type="dxa" w:w="4986"/>
          </w:tcPr>
          <w:p>
            <w:r/>
            <w:r>
              <w:rPr>
                <w:b/>
                <w:i w:val="0"/>
              </w:rPr>
              <w:t>Зона ответственности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</w:rPr>
              <w:t>CIO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</w:rPr>
              <w:t>Спонсор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</w:rPr>
              <w:t>Архитектор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</w:rPr>
              <w:t>Целевой контур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