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Конференция TechWeek</w:t>
      </w:r>
    </w:p>
    <w:p>
      <w:r>
        <w:t>Сообщение #343</w:t>
      </w:r>
    </w:p>
    <w:p>
      <w:r>
        <w:t>Дата: 2026-06-17T10:20:15+00:00</w:t>
      </w:r>
    </w:p>
    <w:p>
      <w:r>
        <w:t>Чат: Конференция TechWeek</w:t>
        <w:br/>
        <w:t>Сообщение: #343</w:t>
        <w:br/>
        <w:t>Дата: 2026-06-17T10:20:15+00:00</w:t>
      </w:r>
    </w:p>
    <w:p>
      <w:r>
        <w:t>Итоги конференции: Внедрение ИИ в среднем и крупном бизнесе</w:t>
      </w:r>
    </w:p>
    <w:p>
      <w:r>
        <w:t>Executive Summary</w:t>
        <w:br/>
        <w:t>Ключевой вектор развития ИИ в энтерпрайзе — переход от жесткого директивного управления к модели инфраструктуры самообслуживания (Self-service). Успех внедрения зависит не от выбора конкретной модели, а от способности организации создать среду, где пользователи сами находят точки роста, а ИТ обеспечивает безопасность, инструменты и сверхбыстрый цикл проверки гипотез.</w:t>
      </w:r>
    </w:p>
    <w:p>
      <w:r>
        <w:t>1. Стратегический подход</w:t>
      </w:r>
    </w:p>
    <w:p>
      <w:r>
        <w:t>Динамическое управление</w:t>
        <w:br/>
        <w:t>В условиях высокой волатильности технологий классическое долгосрочное планирование неэффективно.</w:t>
        <w:br/>
        <w:t>• Цикл ревизии: Пересмотр стратегии каждые 6 месяцев.</w:t>
        <w:br/>
        <w:t>• Триггерная модель: Внеплановая корректировка курса при выходе новых SOTA-моделей или прорывных open-source решений.</w:t>
        <w:br/>
        <w:t>• Bottom-up поток: Интеграция успешных пользовательских микро-кейсов в глобальную стратегию.</w:t>
      </w:r>
    </w:p>
    <w:p>
      <w:r>
        <w:t>Модель внедрения</w:t>
        <w:br/>
        <w:t>• Приоритет «снизу вверх»: Инструменты, навязанные сверху, не приживаются. Пользователи должны сами определять рутину и принимать риски.</w:t>
        <w:br/>
        <w:t>• Ролевая связка: Критическое звено — специалисты на стыке бизнеса и технологий. Без этой координации проекты блокируются либо из-за технической сложности (ИТ), либо из-за отсутствия понимания ценности (Бизнес).</w:t>
      </w:r>
    </w:p>
    <w:p>
      <w:r>
        <w:t>2. Операционная модель и процессы</w:t>
      </w:r>
    </w:p>
    <w:p>
      <w:r>
        <w:t>Жизненный цикл (SDLC)</w:t>
        <w:br/>
        <w:t>• Интеграция в процесс: Переход от «вайбкодинга» к полноценному внедрению ИИ в DLC-процесс разработки.</w:t>
        <w:br/>
        <w:t>• Эксплуатация: Отношение к агентам как к постоянно развиваемому продукту (OPEX), а не как к разовой инвестиции (CAPEX).</w:t>
        <w:br/>
        <w:t>• QA-инновации: Использование агентов-синтетиков для имитации целевой аудитории при тестировании.</w:t>
      </w:r>
    </w:p>
    <w:p>
      <w:r>
        <w:t>Быстрые победы (Quick Wins)</w:t>
        <w:br/>
        <w:t>• Методология MVP: Создание выделенных команд для быстрой сборки прототипов (SLA на пилот — 10–15 дней).</w:t>
        <w:br/>
        <w:t>• Sandbox: Предоставление всем сотрудникам безопасной среды для создания собственных ассистентов.</w:t>
      </w:r>
    </w:p>
    <w:p>
      <w:r>
        <w:t>3. Инфраструктура и безопасность</w:t>
        <w:br/>
        <w:t>• Private Cloud: Обязательное условие для тестирования и внедрения LLM. Позволяет сбалансировать сертификацию безопасности и распределение стоимости ресурсов на конкретных пользователях.</w:t>
        <w:br/>
        <w:t>• Митигация рисков: Адаптация требований СБ через инструменты маскирования и обезличивания данных.</w:t>
        <w:br/>
        <w:t>• Архитектурный сдвиг: Контейнеризация агентов и адаптация ландшафта под агентское использование (развитие системы «скиллов»).</w:t>
      </w:r>
    </w:p>
    <w:p>
      <w:r>
        <w:t>4. Экономика и эффективность</w:t>
      </w:r>
    </w:p>
    <w:p>
      <w:r>
        <w:t>Критические разрывы в метриках</w:t>
        <w:br/>
        <w:t>• Ловушка NPS: Оценка удовлетворенности ответом не равна оценке качества работы модели.</w:t>
        <w:br/>
        <w:t>• Конфликт KPI: Разрыв целей между CTO (затраты/стабильность), командой ИИ (метрики модели) и бизнесом (прибыль).</w:t>
      </w:r>
    </w:p>
    <w:p>
      <w:r>
        <w:t>Рекомендации по контролю</w:t>
        <w:br/>
        <w:t>• Внедрение строгого мониторинга потребления токенов.</w:t>
        <w:br/>
        <w:t>• Разработка матрицы соответствия: Бизнес-цель -&gt; Техническая метрика -&gt; Метод независимой верификации.</w:t>
      </w:r>
    </w:p>
    <w:p>
      <w:r>
        <w:t>5. Сравнительный опыт компаний</w:t>
      </w:r>
    </w:p>
    <w:p>
      <w:r>
        <w:t>Сбер:</w:t>
        <w:br/>
        <w:t>Контейнеризация агентов, адаптация ландшафта под скиллы, продажа собственной платформы.</w:t>
      </w:r>
    </w:p>
    <w:p>
      <w:r>
        <w:t>БКС:</w:t>
        <w:br/>
        <w:t>AI-бизнес-партнеры как драйверы поиска оптимизаций, управление пайплайном инициатив через агентов.</w:t>
      </w:r>
    </w:p>
    <w:p>
      <w:r>
        <w:t>Альфа:</w:t>
        <w:br/>
        <w:t>Обновление стратегии раз в полгода, SLA на MVP 10-15 дней, общедоступный Sandbox, TG-комьюнити для ИТ-ресурса.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