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Acceptance 8803 export</w:t>
      </w:r>
    </w:p>
    <w:p>
      <w:r>
        <w:t>Сообщение #84</w:t>
      </w:r>
    </w:p>
    <w:p>
      <w:r>
        <w:t>Дата: 2026-06-15T06:31:25+00:00</w:t>
      </w:r>
    </w:p>
    <w:p>
      <w:r>
        <w:t>Чат: Acceptance 8803 export</w:t>
        <w:br/>
        <w:t>Сообщение: #84</w:t>
        <w:br/>
        <w:t>Дата: 2026-06-15T06:31:25+00:00</w:t>
      </w:r>
    </w:p>
    <w:p>
      <w:r>
        <w:t>1. Универсальность и переносимость. Flatpak позволяет запускать приложения на любом дистрибутиве Linux, так как все необходимые зависимости упакованы вместе с программой. Это решает проблему несовместимости версий библиотек между разными ОС.</w:t>
      </w:r>
    </w:p>
    <w:p>
      <w:r>
        <w:t>2. Изоляция и безопасность. Приложения работают в «песочнице» (sandboxing), что ограничивает их доступ к системным ресурсам и файлам пользователя. Это повышает стабильность системы и защищает её от потенциально вредоносного кода.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