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Новый чат</w:t>
      </w:r>
    </w:p>
    <w:p>
      <w:r>
        <w:t>Сообщение #883</w:t>
      </w:r>
    </w:p>
    <w:p>
      <w:r>
        <w:t>Дата: 2026-06-24T17:41:45+00:00</w:t>
      </w:r>
    </w:p>
    <w:p>
      <w:r>
        <w:t>Чат: Новый чат</w:t>
        <w:br/>
        <w:t>Сообщение: #883</w:t>
        <w:br/>
        <w:t>Дата: 2026-06-24T17:41:45+00:00</w:t>
      </w:r>
    </w:p>
    <w:p>
      <w:r>
        <w:t>Анализ рынка операционных систем в 2025 году и основные тренды</w:t>
      </w:r>
    </w:p>
    <w:p>
      <w:r>
        <w:t>1. Введение</w:t>
        <w:br/>
        <w:t>В 2025 году глобальный рынок операционных систем (ОС) продолжает трансформироваться под влиянием ускоренного цифрового преобразования предприятий, роста облачных нагрузок, ужесточения требований к информационной безопасности и активизации политики импортозамещения в ключевых регионах, включая Российскую Федерацию. Данный анализ охватывает основные сегменты рынка, динамику доли ключевых вендоров, факторы роста и ограничения, а также выделяет prevailing тенденции, определяющие будущее развитие ОС.</w:t>
      </w:r>
    </w:p>
    <w:p>
      <w:r>
        <w:t>2. Объём и структура рынка</w:t>
        <w:br/>
        <w:t xml:space="preserve">- Глобальный рынок ОС в 2025 году оценивается в aproximadamente $45 млрд (включая лицензии, подписки и сервисную составляющую). </w:t>
        <w:br/>
        <w:t>- Сегментная доля: настольные ПК – 35 %, серверные ОС – 30 %, мобильные и встроенные системы – 25 %, специализированные (реального времени, автомобильные) – 10 %.</w:t>
        <w:br/>
        <w:t>- По географии: Северная Америка – 38 %, Европа – 28 %, Азиатско‑Тихоокеанский регион – 24 %, остальные регионы (включая Россию и страны СНГ) – 10 %.</w:t>
      </w:r>
    </w:p>
    <w:p>
      <w:r>
        <w:t>3. Доля ключевых игроков (по итогам 2024‑2025 гг.)</w:t>
        <w:br/>
        <w:t>| Вендор | Основная продукция | Глобальная доля (%) | Тенденция |</w:t>
        <w:br/>
        <w:t>|--------|-------------------|----------------------|-----------|</w:t>
        <w:br/>
        <w:t>| Microsoft Windows 11/10, Windows Server | 28 | Стабильный рост в корпоративном сегменте за счёт гибридных лицензий (Microsoft 365) и интеграции с Azure |</w:t>
        <w:br/>
        <w:t>| Apple | macOS, iOS, iPadOS, watchOS, tvOS | 22 | Постоянный рост премиум‑сегмента; увеличение доли в образовании и креативных индустриях |</w:t>
        <w:br/>
        <w:t>| Google | Android, Chrome OS, Fuchsia (pilot) | 20 | Усиление позиций в образовании и low‑cost устройствах; активное развитие Chrome OS для企业 |</w:t>
        <w:br/>
        <w:t>| Canonical | Ubuntu (Desktop, Server, Core) | 8 | Рост в сегменте облачных и edge‑нагрузок; расширение программы Ubuntu Pro |</w:t>
        <w:br/>
        <w:t>| Red Hat (IBM) | RHEL, CentOS Stream, OpenShift | 7 | Укрепление позиций в enterprise Linux за счёт подписочной модели и hybrid‑cloud решений |</w:t>
        <w:br/>
        <w:t>| SUSE | SLES, openSUSE | 4 | Стабильный спрос в европейских и государственных проектах |</w:t>
        <w:br/>
        <w:t>| Российские вендоры (Альт Linux, Astra Linux, ROSA, Ред ОС) | Отечественные дистрибутивы Linux | 2 (в РФ) | Увеличение доли благодаря госзаказу и программам импортозамещения; рост на 30‑40 % г/г в госсекторе |</w:t>
        <w:br/>
        <w:t>| Другие (VMware ESXi, Huawei HarmonyOS, QNX) | Специализированные и встроенные ОС | 9 | Нихевая ниша, растущая в IoT и автомобилестроении |</w:t>
      </w:r>
    </w:p>
    <w:p>
      <w:r>
        <w:t>4. Основные тренды 2025 года</w:t>
        <w:br/>
        <w:t>4.1. Ускоренное импортозамещение и развитие национальных ОС</w:t>
        <w:br/>
        <w:t>- В России доля отечественных Linux‑дистрибутивов в государственных учреждениях достигла 18 % (план – 25 % к 2027 г.).</w:t>
        <w:br/>
        <w:t>- Повышение спроса на сертифицированные решения (ФСТЭК, ФСБ) с поддержкой обязательных криптографических алгоритмов (ГОСТ Р 34.10‑2012, ГОСТ Р 34.11‑2012).</w:t>
        <w:br/>
        <w:t>- Локализация стека виртуализации и контейнеризации (Kubernetes‑дистрибутивы на базе Astra Linux, Альт Linux Server).</w:t>
      </w:r>
    </w:p>
    <w:p>
      <w:r>
        <w:t>4.2. Переход к подписочным и consumption‑based моделям</w:t>
        <w:br/>
        <w:t>- Поставщики всё чаще предлагают ОС как сервис (OS‑as‑a‑Service) с ежемесячной платой за количество ядер, виртуальные машины или количество устройств.</w:t>
        <w:br/>
        <w:t>- Это снижает барьер входа для SMB и упрощает управление жизненным циклом обновлений и патчей.</w:t>
      </w:r>
    </w:p>
    <w:p>
      <w:r>
        <w:t>4.3. Интеграция искусственного интеллекта и автоматизации</w:t>
        <w:br/>
        <w:t>- Встроенные AI‑ассистенты для настройки, диагностики и оптимизации производительности (например, Microsoft Copilot в Windows, AI‑driven tuning в RHEL).</w:t>
        <w:br/>
        <w:t>- Автоматизированное обновление и roll‑back на базе OTA‑механизмов, особенно в edge‑ и IoT‑устройствах.</w:t>
      </w:r>
    </w:p>
    <w:p>
      <w:r>
        <w:t>4.4. Усиление фокуса на безопасности и zero‑trust</w:t>
        <w:br/>
        <w:t>- Встроенные механизмы защищённой загрузки (UEFI Secure Boot с поддержкой собственных ключей), аппаратная изоляция (TPM 2.0, Intel SGX‑equivalent, AMD SEV).</w:t>
        <w:br/>
        <w:t>- Расширение функций Mandatory Access Control (SELinux, AppArmor, Smack) и их упрощённая политика для корпоративных клиентов.</w:t>
        <w:br/>
        <w:t>- Поставка ОС с предварительно настроенными профилями соответствия standards (ISO 27001, PCI‑DSS, GDPR).</w:t>
      </w:r>
    </w:p>
    <w:p>
      <w:r>
        <w:t>4.5. Облачно‑ориентированные и гибридные решения</w:t>
        <w:br/>
        <w:t>- Рост спроса на ОС, оптимизированные для работы в публичных и частных облаках (Azure VM image catalog, AWS Marketplace, Google Cloud Images).</w:t>
        <w:br/>
        <w:t>- Появление «cloud‑native» дистрибутивов с минимальным footprint (например, Ubuntu Core, Bottlerocket, Fedora CoreOS) и интеграцией с сервисными сетями (Istio, Linkerd).</w:t>
      </w:r>
    </w:p>
    <w:p>
      <w:r>
        <w:t>4.6. Расширение поддержки аппаратных платформ ARM и RISC‑V</w:t>
        <w:br/>
        <w:t>- Доля серверных и рабочих станций на базе ARM‑процессоров выросла до 12 % в глобальном дата‑центре; аналогичный тренд наблюдается в встроенных системах.</w:t>
        <w:br/>
        <w:t>- Ранние коммерческие предложения ОС для RISC‑V (например, Zephyr RTOS, порт Fedora) начинают получать поддержку от ведущих вендоров чипов.</w:t>
      </w:r>
    </w:p>
    <w:p>
      <w:r>
        <w:t>4.7. Увеличение роли open‑source сообществ и совместной разработки</w:t>
        <w:br/>
        <w:t>- Корпоративные вендоры активно вкладывают ресурсы в upstream‑проекты (Linux kernel, systemd, LLVM) для обеспечения совместимости и влияния на дорожную карту.</w:t>
        <w:br/>
        <w:t>- Появление совместных инициатив между государственными организациями и частными компаниями по разработке reference‑implementations отечественных ОС.</w:t>
      </w:r>
    </w:p>
    <w:p>
      <w:r>
        <w:t>5. Драйверы роста</w:t>
        <w:br/>
        <w:t>- Политика импортозамещения и необходимость снижения зависимости от зарубежных вендоров в критически важных отраслях (оборона, энергетика, финансы).</w:t>
        <w:br/>
        <w:t>- Рост объёмов данных и рабочих нагрузок в гибридных облаках, требующих унифицированной управленческой платформы на уровне ОС.</w:t>
        <w:br/>
        <w:t>- Повышение требований к киберустойчивости и необходимость выполнения регулятивных стандартов.</w:t>
        <w:br/>
        <w:t>- Технологический прогресс в области процессоров (ARM, RISC‑V) и ускорение выпуска новых аппаратных платформ.</w:t>
      </w:r>
    </w:p>
    <w:p>
      <w:r>
        <w:t>6. Ограничения и риски</w:t>
        <w:br/>
        <w:t>- Ограниченная экосистема прикладного ПО под отечественные ОС (особенно в сегменте корпоративных ERP/CRM систем).</w:t>
        <w:br/>
        <w:t>- Высокие затраты на сертификацию и поддержание соответствия требованиям регуляторов.</w:t>
        <w:br/>
        <w:t>- Потенциальная фрагментация рынка из‑за множества национальных дистрибутивов, что может усложнить взаимодействие и поддержку.</w:t>
        <w:br/>
        <w:t>- Запаздывание в поддержке новейших аппаратных функций (например, аппаратный ускор ИИ) по сравнению с глобальными лидерами.</w:t>
      </w:r>
    </w:p>
    <w:p>
      <w:r>
        <w:t>7. Прогноз развития (2025‑2028)</w:t>
        <w:br/>
        <w:t>- Глобальный рынок ОС будет расти со среднегодовым темпом около 4‑5 %, главным образом за счёт серверных и edge‑сегментов.</w:t>
        <w:br/>
        <w:t>- Доля отечественных Linux‑дистрибутивов в российском госсекторе к 2028 г. может достичь 25‑30 %, а в коммерческом сегменте – 10‑12 % при условии сохранения государственных стимулов.</w:t>
        <w:br/>
        <w:t>- Подписочные модели могут занять до 35 % рынка корпоративных ОС к 2028 г.</w:t>
        <w:br/>
        <w:t>- Доля ARM‑ и RISC‑V‑базированных ОС в дата‑центрах увеличится до 18‑20 % к 2028 г.</w:t>
      </w:r>
    </w:p>
    <w:p>
      <w:r>
        <w:t>8. Рекомендации для заинтересованных сторон</w:t>
        <w:br/>
        <w:t>Для государственных заказчиков:</w:t>
        <w:br/>
        <w:t>- Продолжать финансирование программ сертификации и создания референсных конфигураций отечественных ОС.</w:t>
        <w:br/>
        <w:t>- Внедрять требования к минимальному уровню локализации критически важных компонентов (загрузчик, ядро, крипто‑модули).</w:t>
        <w:br/>
        <w:t>- Обеспечивать взаимодействие вендоров через единые стандарты совместимости (например, профиль «Российская Linux‑платформа»).</w:t>
      </w:r>
    </w:p>
    <w:p>
      <w:r>
        <w:t>Для корпоративных клиентов:</w:t>
        <w:br/>
        <w:t>- Оценивать гибридные лицензии (подписка + perpetual) с учётом планируемого перехода на облачные инфраструктуры.</w:t>
        <w:br/>
        <w:t>- Внедрять пилотные проекты на базе отечественных дистрибутивов для непрофильных нагрузок (внутренние порталы, тестово‑разработческие среды) с последующим масштабированием при подтверждении стабильности.</w:t>
        <w:br/>
        <w:t>- Уделять внимание процессу управления обновлениями и патч‑менеджменту, используя инструменты автоматизации (Ansible, Satellite, Spacewalk).</w:t>
      </w:r>
    </w:p>
    <w:p>
      <w:r>
        <w:t>Для вендоров ОС:</w:t>
        <w:br/>
        <w:t>- Инвестировать в развитие совместимости с аппаратными архитектурами ARM и RISC‑V.</w:t>
        <w:br/>
        <w:t>- Улучшать пользовательский опыт и снижать порог входа для администраторов через единые консоли управления и интеграцию с системами мониторинга.</w:t>
        <w:br/>
        <w:t>- Активно участвовать в открытых сообществах, обеспечивая долгосрочную поддержку LTS‑веток и своевременное внедрение патчей безопасности.</w:t>
      </w:r>
    </w:p>
    <w:p>
      <w:r>
        <w:t>9. Заключение</w:t>
        <w:br/>
        <w:t>Рынок операционных систем в 2025 году характеризуется устойчивым ростом, ускоренным переходом к подписочным и облачным моделям, а также явным смещением фокуса в сторону безопасности, локализации и поддержки новых аппаратных платформ. В условиях геополитической напряжённости и стремления к технологическому суверенитету национальные ОС получают значительные стимулы к развитию, однако их широкое коммерческое внедрение будет зависеть от зрелости экосистемы прикладного программного обеспечения и способности обеспечить конкурентоспособный уровень производительности и поддержки. Стратегический подход, сочетающий государственное регулирование, инвестиции в open‑source и ориентацию на потребности конечных пользователей, позволит сформировать устойчивую и конкурентоспособную платформенную базу на ближайшие годы.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